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92" w:rsidRDefault="002B3804" w:rsidP="002B3804">
      <w:pPr>
        <w:rPr>
          <w:b/>
        </w:rPr>
      </w:pPr>
      <w:r>
        <w:rPr>
          <w:b/>
        </w:rPr>
        <w:t xml:space="preserve">Appendix </w:t>
      </w:r>
      <w:r w:rsidR="005070B4">
        <w:rPr>
          <w:b/>
        </w:rPr>
        <w:t>2</w:t>
      </w:r>
      <w:r>
        <w:rPr>
          <w:b/>
        </w:rPr>
        <w:t xml:space="preserve"> – </w:t>
      </w:r>
      <w:r w:rsidR="000A64DD">
        <w:rPr>
          <w:b/>
        </w:rPr>
        <w:t>Proposed allocation of</w:t>
      </w:r>
      <w:r w:rsidR="00AF4A95">
        <w:rPr>
          <w:b/>
        </w:rPr>
        <w:t xml:space="preserve"> homelessness prevention funds </w:t>
      </w:r>
      <w:r w:rsidR="00DA139B">
        <w:rPr>
          <w:b/>
        </w:rPr>
        <w:t>2021</w:t>
      </w:r>
      <w:r w:rsidR="007C51A4">
        <w:rPr>
          <w:b/>
        </w:rPr>
        <w:t>/22</w:t>
      </w:r>
    </w:p>
    <w:p w:rsidR="00AF4A95" w:rsidRPr="00782FB6" w:rsidRDefault="00AF4A95" w:rsidP="002B3804">
      <w:pPr>
        <w:rPr>
          <w:b/>
        </w:rPr>
      </w:pPr>
    </w:p>
    <w:tbl>
      <w:tblPr>
        <w:tblW w:w="13194" w:type="dxa"/>
        <w:tblInd w:w="82" w:type="dxa"/>
        <w:tblLayout w:type="fixed"/>
        <w:tblLook w:val="04A0" w:firstRow="1" w:lastRow="0" w:firstColumn="1" w:lastColumn="0" w:noHBand="0" w:noVBand="1"/>
      </w:tblPr>
      <w:tblGrid>
        <w:gridCol w:w="2835"/>
        <w:gridCol w:w="2171"/>
        <w:gridCol w:w="1422"/>
        <w:gridCol w:w="6766"/>
      </w:tblGrid>
      <w:tr w:rsidR="00230647" w:rsidRPr="00C5029D" w:rsidTr="00230647">
        <w:trPr>
          <w:trHeight w:val="893"/>
        </w:trPr>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Service areas</w:t>
            </w:r>
          </w:p>
        </w:tc>
        <w:tc>
          <w:tcPr>
            <w:tcW w:w="2171" w:type="dxa"/>
            <w:tcBorders>
              <w:top w:val="single" w:sz="4" w:space="0" w:color="auto"/>
              <w:left w:val="nil"/>
              <w:bottom w:val="single" w:sz="4" w:space="0" w:color="auto"/>
              <w:right w:val="single" w:sz="4" w:space="0" w:color="auto"/>
            </w:tcBorders>
            <w:shd w:val="clear" w:color="000000" w:fill="D9D9D9"/>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Provider</w:t>
            </w:r>
          </w:p>
        </w:tc>
        <w:tc>
          <w:tcPr>
            <w:tcW w:w="1422" w:type="dxa"/>
            <w:tcBorders>
              <w:top w:val="single" w:sz="4" w:space="0" w:color="auto"/>
              <w:left w:val="nil"/>
              <w:bottom w:val="single" w:sz="4" w:space="0" w:color="auto"/>
              <w:right w:val="single" w:sz="4" w:space="0" w:color="auto"/>
            </w:tcBorders>
            <w:shd w:val="clear" w:color="auto" w:fill="D9D9D9" w:themeFill="background1" w:themeFillShade="D9"/>
          </w:tcPr>
          <w:p w:rsidR="00230647" w:rsidRPr="00C5029D" w:rsidRDefault="00230647" w:rsidP="00230647">
            <w:pPr>
              <w:pStyle w:val="Caption"/>
              <w:spacing w:beforeLines="60" w:before="144" w:afterLines="60" w:after="144"/>
              <w:rPr>
                <w:sz w:val="22"/>
                <w:szCs w:val="22"/>
              </w:rPr>
            </w:pPr>
            <w:r>
              <w:rPr>
                <w:sz w:val="22"/>
                <w:szCs w:val="22"/>
              </w:rPr>
              <w:t xml:space="preserve">Proposed </w:t>
            </w:r>
            <w:r w:rsidRPr="00C5029D">
              <w:rPr>
                <w:sz w:val="22"/>
                <w:szCs w:val="22"/>
              </w:rPr>
              <w:t>Allocation 202</w:t>
            </w:r>
            <w:r>
              <w:rPr>
                <w:sz w:val="22"/>
                <w:szCs w:val="22"/>
              </w:rPr>
              <w:t>1/22</w:t>
            </w:r>
          </w:p>
        </w:tc>
        <w:tc>
          <w:tcPr>
            <w:tcW w:w="67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Purpose</w:t>
            </w:r>
          </w:p>
        </w:tc>
      </w:tr>
      <w:tr w:rsidR="00230647" w:rsidRPr="00C5029D" w:rsidTr="00230647">
        <w:trPr>
          <w:trHeight w:val="360"/>
        </w:trPr>
        <w:tc>
          <w:tcPr>
            <w:tcW w:w="2835" w:type="dxa"/>
            <w:tcBorders>
              <w:top w:val="nil"/>
              <w:left w:val="single" w:sz="4" w:space="0" w:color="auto"/>
              <w:bottom w:val="single" w:sz="4" w:space="0" w:color="auto"/>
              <w:right w:val="single" w:sz="4" w:space="0" w:color="auto"/>
            </w:tcBorders>
            <w:shd w:val="clear" w:color="000000" w:fill="FABF8F"/>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Supported accommodation</w:t>
            </w:r>
          </w:p>
        </w:tc>
        <w:tc>
          <w:tcPr>
            <w:tcW w:w="2171" w:type="dxa"/>
            <w:tcBorders>
              <w:top w:val="nil"/>
              <w:left w:val="nil"/>
              <w:bottom w:val="single" w:sz="4" w:space="0" w:color="auto"/>
              <w:right w:val="single" w:sz="4" w:space="0" w:color="auto"/>
            </w:tcBorders>
            <w:shd w:val="clear" w:color="000000" w:fill="FABF8F"/>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nil"/>
              <w:left w:val="nil"/>
              <w:bottom w:val="single" w:sz="4" w:space="0" w:color="auto"/>
              <w:right w:val="single" w:sz="4" w:space="0" w:color="auto"/>
            </w:tcBorders>
            <w:shd w:val="clear" w:color="000000" w:fill="FABF8F"/>
            <w:vAlign w:val="center"/>
          </w:tcPr>
          <w:p w:rsidR="00230647" w:rsidRPr="00C5029D" w:rsidRDefault="00230647" w:rsidP="000A64DD">
            <w:pPr>
              <w:jc w:val="center"/>
              <w:rPr>
                <w:rFonts w:cs="Arial"/>
                <w:b/>
                <w:bCs/>
                <w:sz w:val="22"/>
                <w:szCs w:val="22"/>
              </w:rPr>
            </w:pPr>
            <w:r w:rsidRPr="00C5029D">
              <w:rPr>
                <w:rFonts w:cs="Arial"/>
                <w:b/>
                <w:bCs/>
                <w:sz w:val="22"/>
                <w:szCs w:val="22"/>
              </w:rPr>
              <w:t>£</w:t>
            </w:r>
            <w:r>
              <w:rPr>
                <w:rFonts w:cs="Arial"/>
                <w:b/>
                <w:bCs/>
                <w:sz w:val="22"/>
                <w:szCs w:val="22"/>
              </w:rPr>
              <w:t>8</w:t>
            </w:r>
            <w:r w:rsidR="000A64DD">
              <w:rPr>
                <w:rFonts w:cs="Arial"/>
                <w:b/>
                <w:bCs/>
                <w:sz w:val="22"/>
                <w:szCs w:val="22"/>
              </w:rPr>
              <w:t>86,605</w:t>
            </w:r>
          </w:p>
        </w:tc>
        <w:tc>
          <w:tcPr>
            <w:tcW w:w="6766" w:type="dxa"/>
            <w:tcBorders>
              <w:top w:val="nil"/>
              <w:left w:val="single" w:sz="4" w:space="0" w:color="auto"/>
              <w:bottom w:val="single" w:sz="4" w:space="0" w:color="auto"/>
              <w:right w:val="single" w:sz="4" w:space="0" w:color="auto"/>
            </w:tcBorders>
            <w:shd w:val="clear" w:color="000000" w:fill="FABF8F"/>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230647" w:rsidRPr="00C5029D" w:rsidTr="00230647">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Contribution Oxfordshire Pooled Budget for the Adult Homeless Pathway</w:t>
            </w:r>
            <w:r>
              <w:rPr>
                <w:rFonts w:cs="Arial"/>
                <w:color w:val="auto"/>
                <w:sz w:val="22"/>
                <w:szCs w:val="22"/>
              </w:rPr>
              <w:t>(AHP)</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Oxfordshire AHP / Oxfordshire CC commissioner</w:t>
            </w:r>
          </w:p>
        </w:tc>
        <w:tc>
          <w:tcPr>
            <w:tcW w:w="1422" w:type="dxa"/>
            <w:tcBorders>
              <w:top w:val="nil"/>
              <w:left w:val="nil"/>
              <w:bottom w:val="single" w:sz="4" w:space="0" w:color="auto"/>
              <w:right w:val="single" w:sz="4" w:space="0" w:color="auto"/>
            </w:tcBorders>
            <w:vAlign w:val="center"/>
          </w:tcPr>
          <w:p w:rsidR="00230647" w:rsidRPr="00C5029D" w:rsidRDefault="00230647" w:rsidP="00DA139B">
            <w:pPr>
              <w:spacing w:beforeLines="60" w:before="144" w:afterLines="60" w:after="144"/>
              <w:jc w:val="center"/>
              <w:rPr>
                <w:rFonts w:cs="Arial"/>
                <w:color w:val="auto"/>
                <w:sz w:val="22"/>
                <w:szCs w:val="22"/>
              </w:rPr>
            </w:pPr>
            <w:r w:rsidRPr="00C5029D">
              <w:rPr>
                <w:rFonts w:cs="Arial"/>
                <w:color w:val="auto"/>
                <w:sz w:val="22"/>
                <w:szCs w:val="22"/>
              </w:rPr>
              <w:t>£</w:t>
            </w:r>
            <w:r>
              <w:rPr>
                <w:rFonts w:cs="Arial"/>
                <w:color w:val="auto"/>
                <w:sz w:val="22"/>
                <w:szCs w:val="22"/>
              </w:rPr>
              <w:t>219,030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Provision of supported housing.</w:t>
            </w:r>
          </w:p>
        </w:tc>
      </w:tr>
      <w:tr w:rsidR="00230647" w:rsidRPr="00C5029D" w:rsidTr="00230647">
        <w:trPr>
          <w:trHeight w:val="11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Housing First </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nil"/>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£47,850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Funding for 1 FTE Support Worker &amp; 0.5 FTE Peer Support Worker for this specialist housing project. Offers an alternative supported housing model aimed at getting entrenched rough sleepers permanently off the streets. </w:t>
            </w:r>
          </w:p>
        </w:tc>
      </w:tr>
      <w:tr w:rsidR="00230647" w:rsidRPr="00C5029D" w:rsidTr="00230647">
        <w:trPr>
          <w:trHeight w:val="18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473ACB">
            <w:pPr>
              <w:spacing w:beforeLines="60" w:before="144" w:afterLines="60" w:after="144"/>
              <w:rPr>
                <w:rFonts w:cs="Arial"/>
                <w:color w:val="auto"/>
                <w:sz w:val="22"/>
                <w:szCs w:val="22"/>
              </w:rPr>
            </w:pPr>
            <w:r w:rsidRPr="00C5029D">
              <w:rPr>
                <w:rFonts w:cs="Arial"/>
                <w:color w:val="auto"/>
                <w:sz w:val="22"/>
                <w:szCs w:val="22"/>
              </w:rPr>
              <w:t>Acacia existing x 5</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473ACB">
            <w:pPr>
              <w:spacing w:beforeLines="60" w:before="144" w:afterLines="60" w:after="144"/>
              <w:rPr>
                <w:rFonts w:cs="Arial"/>
                <w:color w:val="auto"/>
                <w:sz w:val="22"/>
                <w:szCs w:val="22"/>
              </w:rPr>
            </w:pPr>
            <w:r w:rsidRPr="00C5029D">
              <w:rPr>
                <w:rFonts w:cs="Arial"/>
                <w:color w:val="auto"/>
                <w:sz w:val="22"/>
                <w:szCs w:val="22"/>
              </w:rPr>
              <w:t>Response</w:t>
            </w:r>
          </w:p>
        </w:tc>
        <w:tc>
          <w:tcPr>
            <w:tcW w:w="1422" w:type="dxa"/>
            <w:tcBorders>
              <w:top w:val="nil"/>
              <w:left w:val="nil"/>
              <w:bottom w:val="single" w:sz="4" w:space="0" w:color="auto"/>
              <w:right w:val="single" w:sz="4" w:space="0" w:color="auto"/>
            </w:tcBorders>
            <w:vAlign w:val="center"/>
          </w:tcPr>
          <w:p w:rsidR="00230647" w:rsidRPr="00C5029D" w:rsidRDefault="00230647" w:rsidP="00230647">
            <w:pPr>
              <w:spacing w:beforeLines="60" w:before="144" w:afterLines="60" w:after="144"/>
              <w:jc w:val="center"/>
              <w:rPr>
                <w:rFonts w:cs="Arial"/>
                <w:color w:val="auto"/>
                <w:sz w:val="22"/>
                <w:szCs w:val="22"/>
              </w:rPr>
            </w:pPr>
            <w:r w:rsidRPr="00C5029D">
              <w:rPr>
                <w:rFonts w:cs="Arial"/>
                <w:color w:val="auto"/>
                <w:sz w:val="22"/>
                <w:szCs w:val="22"/>
              </w:rPr>
              <w:t>£</w:t>
            </w:r>
            <w:r>
              <w:rPr>
                <w:rFonts w:cs="Arial"/>
                <w:color w:val="auto"/>
                <w:sz w:val="22"/>
                <w:szCs w:val="22"/>
              </w:rPr>
              <w:t>134,453</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473ACB" w:rsidRDefault="00230647" w:rsidP="00230647">
            <w:pPr>
              <w:spacing w:beforeLines="60" w:before="144" w:afterLines="60" w:after="144"/>
              <w:rPr>
                <w:rFonts w:cs="Arial"/>
                <w:color w:val="auto"/>
                <w:sz w:val="22"/>
                <w:szCs w:val="22"/>
              </w:rPr>
            </w:pPr>
            <w:r w:rsidRPr="00473ACB">
              <w:rPr>
                <w:rFonts w:cs="Arial"/>
                <w:color w:val="auto"/>
                <w:sz w:val="22"/>
                <w:szCs w:val="22"/>
              </w:rPr>
              <w:t xml:space="preserve">Funding </w:t>
            </w:r>
            <w:r>
              <w:rPr>
                <w:rFonts w:cs="Arial"/>
                <w:color w:val="auto"/>
                <w:sz w:val="22"/>
                <w:szCs w:val="22"/>
              </w:rPr>
              <w:t xml:space="preserve">for </w:t>
            </w:r>
            <w:r w:rsidRPr="00473ACB">
              <w:rPr>
                <w:rFonts w:cs="Arial"/>
                <w:color w:val="auto"/>
                <w:sz w:val="22"/>
                <w:szCs w:val="22"/>
              </w:rPr>
              <w:t xml:space="preserve">specialist supported housing for people with complex needs.  The Acacia Project builds on the Housing First model and has developed as a result of recognition by housing and mental health service commissioners </w:t>
            </w:r>
            <w:r>
              <w:rPr>
                <w:rFonts w:cs="Arial"/>
                <w:color w:val="auto"/>
                <w:sz w:val="22"/>
                <w:szCs w:val="22"/>
              </w:rPr>
              <w:t>that there is</w:t>
            </w:r>
            <w:r w:rsidRPr="00473ACB">
              <w:rPr>
                <w:rFonts w:cs="Arial"/>
                <w:color w:val="auto"/>
                <w:sz w:val="22"/>
                <w:szCs w:val="22"/>
              </w:rPr>
              <w:t xml:space="preserve"> an increasing number of people who “fall between the gaps” of mental health services and homelessness services, </w:t>
            </w:r>
            <w:r>
              <w:rPr>
                <w:rFonts w:cs="Arial"/>
                <w:color w:val="auto"/>
                <w:sz w:val="22"/>
                <w:szCs w:val="22"/>
              </w:rPr>
              <w:t xml:space="preserve">and </w:t>
            </w:r>
            <w:r w:rsidRPr="00473ACB">
              <w:rPr>
                <w:rFonts w:cs="Arial"/>
                <w:color w:val="auto"/>
                <w:sz w:val="22"/>
                <w:szCs w:val="22"/>
              </w:rPr>
              <w:t>getting ineffective support from either or both due to their needs.</w:t>
            </w:r>
            <w:r>
              <w:rPr>
                <w:rFonts w:cs="Arial"/>
                <w:color w:val="auto"/>
                <w:sz w:val="22"/>
                <w:szCs w:val="22"/>
              </w:rPr>
              <w:t xml:space="preserve"> An additional £38,753 has been allocated to this year’s budget from previous underspend on this project to increase the number of units from six to twelve.</w:t>
            </w:r>
          </w:p>
        </w:tc>
      </w:tr>
      <w:tr w:rsidR="00230647" w:rsidRPr="00C5029D" w:rsidTr="00230647">
        <w:trPr>
          <w:trHeight w:val="110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lastRenderedPageBreak/>
              <w:t>Project 41</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nil"/>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£150,000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833568" w:rsidRDefault="00230647" w:rsidP="00833568">
            <w:pPr>
              <w:spacing w:beforeLines="60" w:before="144" w:afterLines="60" w:after="144"/>
              <w:rPr>
                <w:rFonts w:cs="Arial"/>
                <w:color w:val="auto"/>
                <w:sz w:val="22"/>
                <w:szCs w:val="22"/>
              </w:rPr>
            </w:pPr>
            <w:r w:rsidRPr="00C5029D">
              <w:rPr>
                <w:rFonts w:cs="Arial"/>
                <w:color w:val="auto"/>
                <w:sz w:val="22"/>
                <w:szCs w:val="22"/>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230647" w:rsidRPr="00C5029D" w:rsidTr="00230647">
        <w:trPr>
          <w:trHeight w:val="1423"/>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F25E6">
            <w:pPr>
              <w:spacing w:beforeLines="60" w:before="144" w:afterLines="60" w:after="144"/>
              <w:rPr>
                <w:rFonts w:cs="Arial"/>
                <w:color w:val="auto"/>
                <w:sz w:val="22"/>
                <w:szCs w:val="22"/>
              </w:rPr>
            </w:pPr>
            <w:r>
              <w:rPr>
                <w:rFonts w:cs="Arial"/>
                <w:color w:val="auto"/>
                <w:sz w:val="22"/>
                <w:szCs w:val="22"/>
              </w:rPr>
              <w:t xml:space="preserve">Matilda House </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A2Dominion</w:t>
            </w:r>
          </w:p>
        </w:tc>
        <w:tc>
          <w:tcPr>
            <w:tcW w:w="1422" w:type="dxa"/>
            <w:tcBorders>
              <w:top w:val="nil"/>
              <w:left w:val="nil"/>
              <w:bottom w:val="single" w:sz="4" w:space="0" w:color="auto"/>
              <w:right w:val="single" w:sz="4" w:space="0" w:color="auto"/>
            </w:tcBorders>
            <w:vAlign w:val="center"/>
          </w:tcPr>
          <w:p w:rsidR="00230647" w:rsidRPr="00C5029D" w:rsidRDefault="00230647" w:rsidP="000A64DD">
            <w:pPr>
              <w:jc w:val="center"/>
              <w:rPr>
                <w:rFonts w:cs="Arial"/>
                <w:color w:val="auto"/>
                <w:sz w:val="22"/>
                <w:szCs w:val="22"/>
              </w:rPr>
            </w:pPr>
            <w:r w:rsidRPr="00C5029D">
              <w:rPr>
                <w:rFonts w:cs="Arial"/>
                <w:sz w:val="22"/>
                <w:szCs w:val="22"/>
              </w:rPr>
              <w:t>£</w:t>
            </w:r>
            <w:r>
              <w:rPr>
                <w:rFonts w:cs="Arial"/>
                <w:sz w:val="22"/>
                <w:szCs w:val="22"/>
              </w:rPr>
              <w:t>2</w:t>
            </w:r>
            <w:r w:rsidR="000A64DD">
              <w:rPr>
                <w:rFonts w:cs="Arial"/>
                <w:sz w:val="22"/>
                <w:szCs w:val="22"/>
              </w:rPr>
              <w:t>66</w:t>
            </w:r>
            <w:r>
              <w:rPr>
                <w:rFonts w:cs="Arial"/>
                <w:sz w:val="22"/>
                <w:szCs w:val="22"/>
              </w:rPr>
              <w:t>.000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F25E6">
            <w:pPr>
              <w:spacing w:beforeLines="60" w:before="144" w:afterLines="60" w:after="144"/>
              <w:rPr>
                <w:rFonts w:cs="Arial"/>
                <w:color w:val="auto"/>
                <w:sz w:val="22"/>
                <w:szCs w:val="22"/>
              </w:rPr>
            </w:pPr>
            <w:r w:rsidRPr="00C5029D">
              <w:rPr>
                <w:rFonts w:cs="Arial"/>
                <w:color w:val="auto"/>
                <w:sz w:val="22"/>
                <w:szCs w:val="22"/>
              </w:rPr>
              <w:t xml:space="preserve">Funding for 22 units of supported accommodation for people with complex needs and 15 units move on accommodation. </w:t>
            </w:r>
            <w:r w:rsidR="000A64DD">
              <w:rPr>
                <w:rFonts w:cs="Arial"/>
                <w:color w:val="auto"/>
                <w:sz w:val="22"/>
                <w:szCs w:val="22"/>
              </w:rPr>
              <w:t>An additional £41,000 has been awarded this year to support more complex clients in the move on units, as there is more demand for this provision.</w:t>
            </w:r>
          </w:p>
        </w:tc>
      </w:tr>
      <w:tr w:rsidR="00230647" w:rsidRPr="00C5029D" w:rsidTr="00230647">
        <w:trPr>
          <w:trHeight w:val="1118"/>
        </w:trPr>
        <w:tc>
          <w:tcPr>
            <w:tcW w:w="2835" w:type="dxa"/>
            <w:tcBorders>
              <w:top w:val="nil"/>
              <w:left w:val="single" w:sz="4" w:space="0" w:color="auto"/>
              <w:bottom w:val="single" w:sz="4" w:space="0" w:color="auto"/>
              <w:right w:val="single" w:sz="4" w:space="0" w:color="auto"/>
            </w:tcBorders>
            <w:shd w:val="clear" w:color="auto" w:fill="auto"/>
            <w:vAlign w:val="center"/>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Mayday Trust 10 units</w:t>
            </w:r>
          </w:p>
        </w:tc>
        <w:tc>
          <w:tcPr>
            <w:tcW w:w="2171" w:type="dxa"/>
            <w:tcBorders>
              <w:top w:val="nil"/>
              <w:left w:val="nil"/>
              <w:bottom w:val="single" w:sz="4" w:space="0" w:color="auto"/>
              <w:right w:val="single" w:sz="4" w:space="0" w:color="auto"/>
            </w:tcBorders>
            <w:shd w:val="clear" w:color="auto" w:fill="auto"/>
            <w:noWrap/>
            <w:vAlign w:val="center"/>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Mayday Trust</w:t>
            </w:r>
          </w:p>
        </w:tc>
        <w:tc>
          <w:tcPr>
            <w:tcW w:w="1422" w:type="dxa"/>
            <w:tcBorders>
              <w:top w:val="nil"/>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£39,272</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230647" w:rsidRPr="00C5029D" w:rsidRDefault="00230647" w:rsidP="00CF25E6">
            <w:pPr>
              <w:spacing w:beforeLines="60" w:before="144" w:afterLines="60" w:after="144"/>
              <w:rPr>
                <w:rFonts w:cs="Arial"/>
                <w:color w:val="auto"/>
                <w:sz w:val="22"/>
                <w:szCs w:val="22"/>
              </w:rPr>
            </w:pPr>
            <w:r>
              <w:rPr>
                <w:rFonts w:cs="Arial"/>
                <w:color w:val="auto"/>
                <w:sz w:val="22"/>
                <w:szCs w:val="22"/>
              </w:rPr>
              <w:t>This project was due to end as Mayday are exiting the provision of accommodation. £20,000 of this cost was due to be a saving</w:t>
            </w:r>
            <w:r w:rsidR="000A64DD">
              <w:rPr>
                <w:rFonts w:cs="Arial"/>
                <w:color w:val="auto"/>
                <w:sz w:val="22"/>
                <w:szCs w:val="22"/>
              </w:rPr>
              <w:t xml:space="preserve"> however since the budget was drafted a potential alternative provider has come forward, so this saving has been taken from elsewhere in this budget.</w:t>
            </w:r>
            <w:r w:rsidRPr="00C5029D">
              <w:rPr>
                <w:rFonts w:cs="Arial"/>
                <w:color w:val="auto"/>
                <w:sz w:val="22"/>
                <w:szCs w:val="22"/>
              </w:rPr>
              <w:t xml:space="preserve"> </w:t>
            </w:r>
          </w:p>
        </w:tc>
      </w:tr>
      <w:tr w:rsidR="00230647" w:rsidRPr="00C5029D" w:rsidTr="00230647">
        <w:trPr>
          <w:trHeight w:val="11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Severe Weather Beds - various</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Various including Homeless Oxfordshire, St Mungo's, Aspire, A2Dominion</w:t>
            </w:r>
          </w:p>
        </w:tc>
        <w:tc>
          <w:tcPr>
            <w:tcW w:w="1422" w:type="dxa"/>
            <w:tcBorders>
              <w:top w:val="nil"/>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Funding to provide additional emergency bed spaces in periods of severe weather for all rough sleepers who need them. </w:t>
            </w:r>
          </w:p>
          <w:p w:rsidR="00230647" w:rsidRPr="00C5029D" w:rsidRDefault="00230647" w:rsidP="00CF25E6">
            <w:pPr>
              <w:spacing w:beforeLines="60" w:before="144" w:afterLines="60" w:after="144"/>
              <w:rPr>
                <w:rFonts w:cs="Arial"/>
                <w:color w:val="auto"/>
                <w:sz w:val="22"/>
                <w:szCs w:val="22"/>
              </w:rPr>
            </w:pPr>
            <w:r w:rsidRPr="0031529F">
              <w:rPr>
                <w:rFonts w:cs="Arial"/>
                <w:color w:val="auto"/>
                <w:sz w:val="22"/>
                <w:szCs w:val="22"/>
              </w:rPr>
              <w:t xml:space="preserve">Spending is forecast to be higher than the original allocation as a result </w:t>
            </w:r>
            <w:r>
              <w:rPr>
                <w:rFonts w:cs="Arial"/>
                <w:color w:val="auto"/>
                <w:sz w:val="22"/>
                <w:szCs w:val="22"/>
              </w:rPr>
              <w:t xml:space="preserve">of changes to how SWEP this provision operates as a result of restrictions due to Covid19. </w:t>
            </w:r>
            <w:r>
              <w:rPr>
                <w:sz w:val="22"/>
                <w:szCs w:val="22"/>
              </w:rPr>
              <w:t>Additional funding of £36,000 for severe weather beds has been provided by the government, which means there will be no additional cost to the council.</w:t>
            </w:r>
          </w:p>
        </w:tc>
      </w:tr>
      <w:tr w:rsidR="00230647" w:rsidRPr="00C5029D" w:rsidTr="00230647">
        <w:trPr>
          <w:trHeight w:val="547"/>
        </w:trPr>
        <w:tc>
          <w:tcPr>
            <w:tcW w:w="2835" w:type="dxa"/>
            <w:tcBorders>
              <w:top w:val="nil"/>
              <w:left w:val="single" w:sz="4" w:space="0" w:color="auto"/>
              <w:bottom w:val="single" w:sz="4" w:space="0" w:color="auto"/>
              <w:right w:val="single" w:sz="4" w:space="0" w:color="auto"/>
            </w:tcBorders>
            <w:shd w:val="clear" w:color="000000" w:fill="B1A0C7"/>
            <w:vAlign w:val="center"/>
            <w:hideMark/>
          </w:tcPr>
          <w:p w:rsidR="00230647" w:rsidRPr="00C5029D" w:rsidRDefault="00230647" w:rsidP="00C5029D">
            <w:pPr>
              <w:spacing w:beforeLines="60" w:before="144" w:afterLines="60" w:after="144"/>
              <w:jc w:val="center"/>
              <w:rPr>
                <w:rFonts w:cs="Arial"/>
                <w:b/>
                <w:bCs/>
                <w:color w:val="FFFFFF"/>
                <w:sz w:val="22"/>
                <w:szCs w:val="22"/>
              </w:rPr>
            </w:pPr>
            <w:r w:rsidRPr="00C5029D">
              <w:rPr>
                <w:rFonts w:cs="Arial"/>
                <w:b/>
                <w:bCs/>
                <w:color w:val="FFFFFF"/>
                <w:sz w:val="22"/>
                <w:szCs w:val="22"/>
              </w:rPr>
              <w:t>Street Engagement</w:t>
            </w:r>
          </w:p>
        </w:tc>
        <w:tc>
          <w:tcPr>
            <w:tcW w:w="2171" w:type="dxa"/>
            <w:tcBorders>
              <w:top w:val="nil"/>
              <w:left w:val="nil"/>
              <w:bottom w:val="single" w:sz="4" w:space="0" w:color="auto"/>
              <w:right w:val="single" w:sz="4" w:space="0" w:color="auto"/>
            </w:tcBorders>
            <w:shd w:val="clear" w:color="000000" w:fill="B1A0C7"/>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B1A0C7"/>
            <w:vAlign w:val="center"/>
          </w:tcPr>
          <w:p w:rsidR="00230647" w:rsidRPr="00C5029D" w:rsidRDefault="00230647" w:rsidP="00B665EB">
            <w:pPr>
              <w:spacing w:beforeLines="60" w:before="144" w:afterLines="60" w:after="144"/>
              <w:jc w:val="center"/>
              <w:rPr>
                <w:rFonts w:cs="Arial"/>
                <w:b/>
                <w:bCs/>
                <w:color w:val="auto"/>
                <w:sz w:val="22"/>
                <w:szCs w:val="22"/>
              </w:rPr>
            </w:pPr>
            <w:r w:rsidRPr="00C5029D">
              <w:rPr>
                <w:rFonts w:cs="Arial"/>
                <w:b/>
                <w:bCs/>
                <w:color w:val="auto"/>
                <w:sz w:val="22"/>
                <w:szCs w:val="22"/>
              </w:rPr>
              <w:t>£</w:t>
            </w:r>
            <w:r>
              <w:rPr>
                <w:rFonts w:cs="Arial"/>
                <w:b/>
                <w:bCs/>
                <w:color w:val="auto"/>
                <w:sz w:val="22"/>
                <w:szCs w:val="22"/>
              </w:rPr>
              <w:t>47,500</w:t>
            </w:r>
          </w:p>
        </w:tc>
        <w:tc>
          <w:tcPr>
            <w:tcW w:w="6766" w:type="dxa"/>
            <w:tcBorders>
              <w:top w:val="nil"/>
              <w:left w:val="single" w:sz="4" w:space="0" w:color="auto"/>
              <w:bottom w:val="single" w:sz="4" w:space="0" w:color="auto"/>
              <w:right w:val="single" w:sz="4" w:space="0" w:color="auto"/>
            </w:tcBorders>
            <w:shd w:val="clear" w:color="000000" w:fill="B1A0C7"/>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230647" w:rsidRPr="00C5029D" w:rsidTr="00230647">
        <w:trPr>
          <w:trHeight w:val="121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Rough Sleeping &amp; Street activity service - TVP</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Thames Valley Police</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230647" w:rsidRPr="00C5029D" w:rsidTr="00230647">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lastRenderedPageBreak/>
              <w:t>City Centre Ambassadors</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£17,500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p w:rsidR="00833568" w:rsidRPr="00C5029D" w:rsidRDefault="00833568" w:rsidP="00C5029D">
            <w:pPr>
              <w:spacing w:beforeLines="60" w:before="144" w:afterLines="60" w:after="144"/>
              <w:rPr>
                <w:rFonts w:cs="Arial"/>
                <w:color w:val="auto"/>
                <w:sz w:val="22"/>
                <w:szCs w:val="22"/>
              </w:rPr>
            </w:pPr>
          </w:p>
        </w:tc>
      </w:tr>
      <w:tr w:rsidR="00230647" w:rsidRPr="00C5029D" w:rsidTr="00230647">
        <w:trPr>
          <w:trHeight w:val="529"/>
        </w:trPr>
        <w:tc>
          <w:tcPr>
            <w:tcW w:w="2835" w:type="dxa"/>
            <w:tcBorders>
              <w:top w:val="nil"/>
              <w:left w:val="single" w:sz="4" w:space="0" w:color="auto"/>
              <w:bottom w:val="single" w:sz="4" w:space="0" w:color="auto"/>
              <w:right w:val="single" w:sz="4" w:space="0" w:color="auto"/>
            </w:tcBorders>
            <w:shd w:val="clear" w:color="000000" w:fill="8DB4E2"/>
            <w:vAlign w:val="center"/>
            <w:hideMark/>
          </w:tcPr>
          <w:p w:rsidR="00230647" w:rsidRPr="00C5029D" w:rsidRDefault="00230647" w:rsidP="00A100F1">
            <w:pPr>
              <w:spacing w:beforeLines="60" w:before="144" w:afterLines="60" w:after="144"/>
              <w:rPr>
                <w:rFonts w:cs="Arial"/>
                <w:b/>
                <w:bCs/>
                <w:color w:val="FFFFFF"/>
                <w:sz w:val="22"/>
                <w:szCs w:val="22"/>
              </w:rPr>
            </w:pPr>
            <w:r w:rsidRPr="00C5029D">
              <w:rPr>
                <w:rFonts w:cs="Arial"/>
                <w:b/>
                <w:bCs/>
                <w:color w:val="FFFFFF"/>
                <w:sz w:val="22"/>
                <w:szCs w:val="22"/>
              </w:rPr>
              <w:t>Preventing homelessness</w:t>
            </w:r>
          </w:p>
        </w:tc>
        <w:tc>
          <w:tcPr>
            <w:tcW w:w="2171" w:type="dxa"/>
            <w:tcBorders>
              <w:top w:val="nil"/>
              <w:left w:val="nil"/>
              <w:bottom w:val="single" w:sz="4" w:space="0" w:color="auto"/>
              <w:right w:val="single" w:sz="4" w:space="0" w:color="auto"/>
            </w:tcBorders>
            <w:shd w:val="clear" w:color="000000" w:fill="8DB4E2"/>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8DB4E2"/>
            <w:vAlign w:val="center"/>
          </w:tcPr>
          <w:p w:rsidR="00230647" w:rsidRPr="00C5029D" w:rsidRDefault="000A64DD" w:rsidP="0056577E">
            <w:pPr>
              <w:spacing w:beforeLines="60" w:before="144" w:afterLines="60" w:after="144"/>
              <w:jc w:val="center"/>
              <w:rPr>
                <w:rFonts w:cs="Arial"/>
                <w:b/>
                <w:bCs/>
                <w:color w:val="auto"/>
                <w:sz w:val="22"/>
                <w:szCs w:val="22"/>
              </w:rPr>
            </w:pPr>
            <w:r>
              <w:rPr>
                <w:rFonts w:cs="Arial"/>
                <w:b/>
                <w:bCs/>
                <w:color w:val="auto"/>
                <w:sz w:val="22"/>
                <w:szCs w:val="22"/>
              </w:rPr>
              <w:t>£</w:t>
            </w:r>
            <w:r w:rsidR="0056577E">
              <w:rPr>
                <w:rFonts w:cs="Arial"/>
                <w:b/>
                <w:bCs/>
                <w:color w:val="auto"/>
                <w:sz w:val="22"/>
                <w:szCs w:val="22"/>
              </w:rPr>
              <w:t>94</w:t>
            </w:r>
            <w:r w:rsidR="00230647">
              <w:rPr>
                <w:rFonts w:cs="Arial"/>
                <w:b/>
                <w:bCs/>
                <w:color w:val="auto"/>
                <w:sz w:val="22"/>
                <w:szCs w:val="22"/>
              </w:rPr>
              <w:t>.009</w:t>
            </w:r>
          </w:p>
        </w:tc>
        <w:tc>
          <w:tcPr>
            <w:tcW w:w="6766" w:type="dxa"/>
            <w:tcBorders>
              <w:top w:val="nil"/>
              <w:left w:val="single" w:sz="4" w:space="0" w:color="auto"/>
              <w:bottom w:val="single" w:sz="4" w:space="0" w:color="auto"/>
              <w:right w:val="single" w:sz="4" w:space="0" w:color="auto"/>
            </w:tcBorders>
            <w:shd w:val="clear" w:color="000000" w:fill="8DB4E2"/>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230647" w:rsidRPr="00C5029D" w:rsidTr="00230647">
        <w:trPr>
          <w:trHeight w:val="69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Tenancy Sustainment Officer - Elmore </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Elmore Community Services</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£35,630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Funding for 1 FTE specialist sustainment officer to support residents in Oxford City Council accommodation to maintain their tenancies. </w:t>
            </w:r>
          </w:p>
          <w:p w:rsidR="00833568" w:rsidRPr="00C5029D" w:rsidRDefault="00833568" w:rsidP="00C5029D">
            <w:pPr>
              <w:spacing w:beforeLines="60" w:before="144" w:afterLines="60" w:after="144"/>
              <w:rPr>
                <w:rFonts w:cs="Arial"/>
                <w:color w:val="auto"/>
                <w:sz w:val="22"/>
                <w:szCs w:val="22"/>
              </w:rPr>
            </w:pPr>
          </w:p>
        </w:tc>
      </w:tr>
      <w:tr w:rsidR="00230647" w:rsidRPr="00C5029D" w:rsidTr="00230647">
        <w:trPr>
          <w:trHeight w:val="7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Welfare Reform Outreach Team</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0A64DD" w:rsidP="000A64DD">
            <w:pPr>
              <w:spacing w:beforeLines="60" w:before="144" w:afterLines="60" w:after="144"/>
              <w:jc w:val="center"/>
              <w:rPr>
                <w:rFonts w:cs="Arial"/>
                <w:color w:val="auto"/>
                <w:sz w:val="22"/>
                <w:szCs w:val="22"/>
              </w:rPr>
            </w:pPr>
            <w:r>
              <w:rPr>
                <w:rFonts w:cs="Arial"/>
                <w:color w:val="auto"/>
                <w:sz w:val="22"/>
                <w:szCs w:val="22"/>
              </w:rPr>
              <w:t>£42</w:t>
            </w:r>
            <w:r w:rsidR="00230647">
              <w:rPr>
                <w:rFonts w:cs="Arial"/>
                <w:color w:val="auto"/>
                <w:sz w:val="22"/>
                <w:szCs w:val="22"/>
              </w:rPr>
              <w:t>,379</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Default="00230647" w:rsidP="00C5029D">
            <w:pPr>
              <w:spacing w:beforeLines="60" w:before="144" w:afterLines="60" w:after="144"/>
              <w:rPr>
                <w:rFonts w:cs="Arial"/>
                <w:color w:val="auto"/>
                <w:sz w:val="22"/>
                <w:szCs w:val="22"/>
              </w:rPr>
            </w:pPr>
            <w:r w:rsidRPr="00C5029D">
              <w:rPr>
                <w:rFonts w:cs="Arial"/>
                <w:color w:val="auto"/>
                <w:sz w:val="22"/>
                <w:szCs w:val="22"/>
              </w:rPr>
              <w:t>Funding contribution towards the work of a team focussing on the impact of welfare reform across the City</w:t>
            </w:r>
            <w:r>
              <w:rPr>
                <w:rFonts w:cs="Arial"/>
                <w:color w:val="auto"/>
                <w:sz w:val="22"/>
                <w:szCs w:val="22"/>
              </w:rPr>
              <w:t>.</w:t>
            </w:r>
            <w:r w:rsidR="000A64DD">
              <w:rPr>
                <w:rFonts w:cs="Arial"/>
                <w:color w:val="auto"/>
                <w:sz w:val="22"/>
                <w:szCs w:val="22"/>
              </w:rPr>
              <w:t xml:space="preserve"> This has been reduced by £41,000 as outlined in the budget report for 21/22.</w:t>
            </w:r>
          </w:p>
          <w:p w:rsidR="00230647" w:rsidRPr="00C5029D" w:rsidRDefault="00230647" w:rsidP="00B665EB">
            <w:pPr>
              <w:spacing w:after="0"/>
              <w:rPr>
                <w:rFonts w:cs="Arial"/>
                <w:color w:val="auto"/>
                <w:sz w:val="22"/>
                <w:szCs w:val="22"/>
              </w:rPr>
            </w:pPr>
          </w:p>
        </w:tc>
      </w:tr>
      <w:tr w:rsidR="0056577E" w:rsidRPr="00C5029D" w:rsidTr="00230647">
        <w:trPr>
          <w:trHeight w:val="711"/>
        </w:trPr>
        <w:tc>
          <w:tcPr>
            <w:tcW w:w="2835" w:type="dxa"/>
            <w:tcBorders>
              <w:top w:val="nil"/>
              <w:left w:val="single" w:sz="4" w:space="0" w:color="auto"/>
              <w:bottom w:val="single" w:sz="4" w:space="0" w:color="auto"/>
              <w:right w:val="single" w:sz="4" w:space="0" w:color="auto"/>
            </w:tcBorders>
            <w:shd w:val="clear" w:color="auto" w:fill="auto"/>
            <w:vAlign w:val="center"/>
          </w:tcPr>
          <w:p w:rsidR="0056577E" w:rsidRPr="00C5029D" w:rsidRDefault="0056577E" w:rsidP="00C5029D">
            <w:pPr>
              <w:spacing w:beforeLines="60" w:before="144" w:afterLines="60" w:after="144"/>
              <w:rPr>
                <w:rFonts w:cs="Arial"/>
                <w:color w:val="auto"/>
                <w:sz w:val="22"/>
                <w:szCs w:val="22"/>
              </w:rPr>
            </w:pPr>
            <w:r>
              <w:rPr>
                <w:rFonts w:cs="Arial"/>
                <w:color w:val="auto"/>
                <w:sz w:val="22"/>
                <w:szCs w:val="22"/>
              </w:rPr>
              <w:t>Tenant Ready Course</w:t>
            </w:r>
          </w:p>
        </w:tc>
        <w:tc>
          <w:tcPr>
            <w:tcW w:w="2171" w:type="dxa"/>
            <w:tcBorders>
              <w:top w:val="nil"/>
              <w:left w:val="nil"/>
              <w:bottom w:val="single" w:sz="4" w:space="0" w:color="auto"/>
              <w:right w:val="single" w:sz="4" w:space="0" w:color="auto"/>
            </w:tcBorders>
            <w:shd w:val="clear" w:color="auto" w:fill="auto"/>
            <w:noWrap/>
            <w:vAlign w:val="center"/>
          </w:tcPr>
          <w:p w:rsidR="0056577E" w:rsidRPr="00C5029D" w:rsidRDefault="0056577E" w:rsidP="00C5029D">
            <w:pPr>
              <w:spacing w:beforeLines="60" w:before="144" w:afterLines="60" w:after="144"/>
              <w:rPr>
                <w:rFonts w:cs="Arial"/>
                <w:color w:val="auto"/>
                <w:sz w:val="22"/>
                <w:szCs w:val="22"/>
              </w:rPr>
            </w:pPr>
            <w:r>
              <w:rPr>
                <w:rFonts w:cs="Arial"/>
                <w:color w:val="auto"/>
                <w:sz w:val="22"/>
                <w:szCs w:val="22"/>
              </w:rPr>
              <w:t>Connections</w:t>
            </w:r>
          </w:p>
        </w:tc>
        <w:tc>
          <w:tcPr>
            <w:tcW w:w="1422" w:type="dxa"/>
            <w:tcBorders>
              <w:top w:val="single" w:sz="4" w:space="0" w:color="auto"/>
              <w:left w:val="nil"/>
              <w:bottom w:val="single" w:sz="4" w:space="0" w:color="auto"/>
              <w:right w:val="single" w:sz="4" w:space="0" w:color="auto"/>
            </w:tcBorders>
            <w:vAlign w:val="center"/>
          </w:tcPr>
          <w:p w:rsidR="0056577E" w:rsidRDefault="0056577E" w:rsidP="000A64DD">
            <w:pPr>
              <w:spacing w:beforeLines="60" w:before="144" w:afterLines="60" w:after="144"/>
              <w:jc w:val="center"/>
              <w:rPr>
                <w:rFonts w:cs="Arial"/>
                <w:color w:val="auto"/>
                <w:sz w:val="22"/>
                <w:szCs w:val="22"/>
              </w:rPr>
            </w:pPr>
            <w:r>
              <w:rPr>
                <w:rFonts w:cs="Arial"/>
                <w:color w:val="auto"/>
                <w:sz w:val="22"/>
                <w:szCs w:val="22"/>
              </w:rPr>
              <w:t>£16,000</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56577E" w:rsidRPr="00C5029D" w:rsidRDefault="0056577E" w:rsidP="0056577E">
            <w:pPr>
              <w:spacing w:beforeLines="60" w:before="144" w:afterLines="60" w:after="144"/>
              <w:rPr>
                <w:rFonts w:cs="Arial"/>
                <w:color w:val="auto"/>
                <w:sz w:val="22"/>
                <w:szCs w:val="22"/>
              </w:rPr>
            </w:pPr>
            <w:r w:rsidRPr="0056577E">
              <w:rPr>
                <w:rFonts w:cs="Arial"/>
                <w:color w:val="auto"/>
                <w:sz w:val="22"/>
                <w:szCs w:val="22"/>
              </w:rPr>
              <w:t>Fund</w:t>
            </w:r>
            <w:r>
              <w:rPr>
                <w:rFonts w:cs="Arial"/>
                <w:color w:val="auto"/>
                <w:sz w:val="22"/>
                <w:szCs w:val="22"/>
              </w:rPr>
              <w:t xml:space="preserve">ing to provide courses to help </w:t>
            </w:r>
            <w:r w:rsidRPr="0056577E">
              <w:rPr>
                <w:rFonts w:cs="Arial"/>
                <w:color w:val="auto"/>
                <w:sz w:val="22"/>
                <w:szCs w:val="22"/>
              </w:rPr>
              <w:t>people develop a range of skills that will enable them to become tenancy ready.</w:t>
            </w:r>
            <w:r>
              <w:rPr>
                <w:rFonts w:cs="Arial"/>
                <w:color w:val="auto"/>
                <w:sz w:val="22"/>
                <w:szCs w:val="22"/>
              </w:rPr>
              <w:t xml:space="preserve"> Connections are able to deliver this course digitally as well as face to face, enabling it to be delivered during periods of lockdown. Last year this was funded from the Flexible Homeless Grant.</w:t>
            </w:r>
          </w:p>
        </w:tc>
      </w:tr>
      <w:tr w:rsidR="00230647" w:rsidRPr="00C5029D" w:rsidTr="00230647">
        <w:trPr>
          <w:trHeight w:val="730"/>
        </w:trPr>
        <w:tc>
          <w:tcPr>
            <w:tcW w:w="2835" w:type="dxa"/>
            <w:tcBorders>
              <w:top w:val="nil"/>
              <w:left w:val="single" w:sz="4" w:space="0" w:color="auto"/>
              <w:bottom w:val="single" w:sz="4" w:space="0" w:color="auto"/>
              <w:right w:val="single" w:sz="4" w:space="0" w:color="auto"/>
            </w:tcBorders>
            <w:shd w:val="clear" w:color="000000" w:fill="B7DEE8"/>
            <w:vAlign w:val="center"/>
            <w:hideMark/>
          </w:tcPr>
          <w:p w:rsidR="00230647" w:rsidRPr="00C5029D" w:rsidRDefault="00230647" w:rsidP="00C5029D">
            <w:pPr>
              <w:spacing w:beforeLines="60" w:before="144" w:afterLines="60" w:after="144"/>
              <w:rPr>
                <w:rFonts w:cs="Arial"/>
                <w:b/>
                <w:bCs/>
                <w:color w:val="auto"/>
                <w:sz w:val="22"/>
                <w:szCs w:val="22"/>
              </w:rPr>
            </w:pPr>
            <w:r w:rsidRPr="00C5029D">
              <w:rPr>
                <w:rFonts w:cs="Arial"/>
                <w:b/>
                <w:bCs/>
                <w:color w:val="auto"/>
                <w:sz w:val="22"/>
                <w:szCs w:val="22"/>
              </w:rPr>
              <w:t>Positive activities &amp; help to get into work</w:t>
            </w:r>
          </w:p>
        </w:tc>
        <w:tc>
          <w:tcPr>
            <w:tcW w:w="2171" w:type="dxa"/>
            <w:tcBorders>
              <w:top w:val="nil"/>
              <w:left w:val="nil"/>
              <w:bottom w:val="single" w:sz="4" w:space="0" w:color="auto"/>
              <w:right w:val="single" w:sz="4" w:space="0" w:color="auto"/>
            </w:tcBorders>
            <w:shd w:val="clear" w:color="000000" w:fill="B7DEE8"/>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B7DEE8"/>
            <w:vAlign w:val="center"/>
          </w:tcPr>
          <w:p w:rsidR="00230647" w:rsidRPr="00C5029D" w:rsidRDefault="00230647" w:rsidP="0056577E">
            <w:pPr>
              <w:spacing w:beforeLines="60" w:before="144" w:afterLines="60" w:after="144"/>
              <w:jc w:val="center"/>
              <w:rPr>
                <w:rFonts w:cs="Arial"/>
                <w:b/>
                <w:bCs/>
                <w:color w:val="auto"/>
                <w:sz w:val="22"/>
                <w:szCs w:val="22"/>
              </w:rPr>
            </w:pPr>
            <w:r w:rsidRPr="00C5029D">
              <w:rPr>
                <w:rFonts w:cs="Arial"/>
                <w:b/>
                <w:bCs/>
                <w:color w:val="auto"/>
                <w:sz w:val="22"/>
                <w:szCs w:val="22"/>
              </w:rPr>
              <w:t>£</w:t>
            </w:r>
            <w:r w:rsidR="0056577E">
              <w:rPr>
                <w:rFonts w:cs="Arial"/>
                <w:b/>
                <w:bCs/>
                <w:color w:val="auto"/>
                <w:sz w:val="22"/>
                <w:szCs w:val="22"/>
              </w:rPr>
              <w:t>199,367</w:t>
            </w:r>
          </w:p>
        </w:tc>
        <w:tc>
          <w:tcPr>
            <w:tcW w:w="6766" w:type="dxa"/>
            <w:tcBorders>
              <w:top w:val="nil"/>
              <w:left w:val="single" w:sz="4" w:space="0" w:color="auto"/>
              <w:bottom w:val="single" w:sz="4" w:space="0" w:color="auto"/>
              <w:right w:val="single" w:sz="4" w:space="0" w:color="auto"/>
            </w:tcBorders>
            <w:shd w:val="clear" w:color="000000" w:fill="B7DEE8"/>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230647" w:rsidRPr="00C5029D" w:rsidTr="00230647">
        <w:trPr>
          <w:trHeight w:val="11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56577E" w:rsidP="00C5029D">
            <w:pPr>
              <w:spacing w:beforeLines="60" w:before="144" w:afterLines="60" w:after="144"/>
              <w:rPr>
                <w:rFonts w:cs="Arial"/>
                <w:color w:val="auto"/>
                <w:sz w:val="22"/>
                <w:szCs w:val="22"/>
              </w:rPr>
            </w:pPr>
            <w:r>
              <w:rPr>
                <w:rFonts w:cs="Arial"/>
                <w:color w:val="auto"/>
                <w:sz w:val="22"/>
                <w:szCs w:val="22"/>
              </w:rPr>
              <w:lastRenderedPageBreak/>
              <w:t>Day Services</w:t>
            </w:r>
            <w:r w:rsidR="00230647" w:rsidRPr="00C5029D">
              <w:rPr>
                <w:rFonts w:cs="Arial"/>
                <w:color w:val="auto"/>
                <w:sz w:val="22"/>
                <w:szCs w:val="22"/>
              </w:rPr>
              <w:t xml:space="preserve"> </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56577E" w:rsidP="00C5029D">
            <w:pPr>
              <w:spacing w:beforeLines="60" w:before="144" w:afterLines="60" w:after="144"/>
              <w:rPr>
                <w:rFonts w:cs="Arial"/>
                <w:color w:val="auto"/>
                <w:sz w:val="22"/>
                <w:szCs w:val="22"/>
              </w:rPr>
            </w:pPr>
            <w:r>
              <w:rPr>
                <w:rFonts w:cs="Arial"/>
                <w:color w:val="auto"/>
                <w:sz w:val="22"/>
                <w:szCs w:val="22"/>
              </w:rPr>
              <w:t>To be confirmed</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230647" w:rsidP="0056577E">
            <w:pPr>
              <w:spacing w:beforeLines="60" w:before="144" w:afterLines="60" w:after="144"/>
              <w:jc w:val="center"/>
              <w:rPr>
                <w:rFonts w:cs="Arial"/>
                <w:color w:val="auto"/>
                <w:sz w:val="22"/>
                <w:szCs w:val="22"/>
              </w:rPr>
            </w:pPr>
            <w:r w:rsidRPr="00C5029D">
              <w:rPr>
                <w:rFonts w:cs="Arial"/>
                <w:color w:val="auto"/>
                <w:sz w:val="22"/>
                <w:szCs w:val="22"/>
              </w:rPr>
              <w:t>£</w:t>
            </w:r>
            <w:r w:rsidR="0056577E">
              <w:rPr>
                <w:rFonts w:cs="Arial"/>
                <w:color w:val="auto"/>
                <w:sz w:val="22"/>
                <w:szCs w:val="22"/>
              </w:rPr>
              <w:t>61,164</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Default="00230647" w:rsidP="00C5029D">
            <w:pPr>
              <w:spacing w:beforeLines="60" w:before="144" w:afterLines="60" w:after="144"/>
              <w:rPr>
                <w:rFonts w:cs="Arial"/>
                <w:color w:val="auto"/>
                <w:sz w:val="22"/>
                <w:szCs w:val="22"/>
              </w:rPr>
            </w:pPr>
            <w:r w:rsidRPr="00C5029D">
              <w:rPr>
                <w:rFonts w:cs="Arial"/>
                <w:color w:val="auto"/>
                <w:sz w:val="22"/>
                <w:szCs w:val="22"/>
              </w:rPr>
              <w:t>Funding for provision of day services – showers and laundry facilities as well as breakfast and lunch and any other activities taking place – for individuals rough sleeping in the City and working with outreach services to access suitable accommodation.</w:t>
            </w:r>
          </w:p>
          <w:p w:rsidR="00230647" w:rsidRPr="00C5029D" w:rsidRDefault="00230647" w:rsidP="0056577E">
            <w:pPr>
              <w:spacing w:beforeLines="60" w:before="144" w:afterLines="60" w:after="144"/>
              <w:rPr>
                <w:rFonts w:cs="Arial"/>
                <w:color w:val="auto"/>
                <w:sz w:val="22"/>
                <w:szCs w:val="22"/>
              </w:rPr>
            </w:pPr>
            <w:proofErr w:type="spellStart"/>
            <w:r>
              <w:rPr>
                <w:rFonts w:cs="Arial"/>
                <w:color w:val="auto"/>
                <w:sz w:val="22"/>
                <w:szCs w:val="22"/>
              </w:rPr>
              <w:t>Covid</w:t>
            </w:r>
            <w:proofErr w:type="spellEnd"/>
            <w:r>
              <w:rPr>
                <w:rFonts w:cs="Arial"/>
                <w:color w:val="auto"/>
                <w:sz w:val="22"/>
                <w:szCs w:val="22"/>
              </w:rPr>
              <w:t xml:space="preserve"> has meant that these services have not been provided </w:t>
            </w:r>
            <w:r w:rsidR="0056577E">
              <w:rPr>
                <w:rFonts w:cs="Arial"/>
                <w:color w:val="auto"/>
                <w:sz w:val="22"/>
                <w:szCs w:val="22"/>
              </w:rPr>
              <w:t>in 20/21, and Homeless Oxfordshire will no longer be providing them in O’Hanlon House so an alternative provision will be developed in 21/22. The £20,000 saving originally allocated to Mayday accommodation has been taken here instead (see above)</w:t>
            </w:r>
          </w:p>
        </w:tc>
      </w:tr>
      <w:tr w:rsidR="00230647" w:rsidRPr="00C5029D" w:rsidTr="00230647">
        <w:trPr>
          <w:trHeight w:val="7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Gatehouse Café</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Gatehouse</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£5,580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Default="00230647" w:rsidP="00226CCA">
            <w:pPr>
              <w:spacing w:beforeLines="60" w:before="144" w:afterLines="60" w:after="144"/>
              <w:rPr>
                <w:rFonts w:cs="Arial"/>
                <w:color w:val="auto"/>
                <w:sz w:val="22"/>
                <w:szCs w:val="22"/>
              </w:rPr>
            </w:pPr>
            <w:r w:rsidRPr="00C5029D">
              <w:rPr>
                <w:rFonts w:cs="Arial"/>
                <w:color w:val="auto"/>
                <w:sz w:val="22"/>
                <w:szCs w:val="22"/>
              </w:rPr>
              <w:t xml:space="preserve">Core funding for the Gatehouse café, to support and engage </w:t>
            </w:r>
            <w:r>
              <w:rPr>
                <w:rFonts w:cs="Arial"/>
                <w:color w:val="auto"/>
                <w:sz w:val="22"/>
                <w:szCs w:val="22"/>
              </w:rPr>
              <w:t>people sleeping rough</w:t>
            </w:r>
            <w:r w:rsidRPr="00C5029D">
              <w:rPr>
                <w:rFonts w:cs="Arial"/>
                <w:color w:val="auto"/>
                <w:sz w:val="22"/>
                <w:szCs w:val="22"/>
              </w:rPr>
              <w:t xml:space="preserve"> to access accommodation and specialist support</w:t>
            </w:r>
            <w:r>
              <w:rPr>
                <w:rFonts w:cs="Arial"/>
                <w:color w:val="auto"/>
                <w:sz w:val="22"/>
                <w:szCs w:val="22"/>
              </w:rPr>
              <w:t>.</w:t>
            </w:r>
          </w:p>
          <w:p w:rsidR="00833568" w:rsidRPr="00C5029D" w:rsidRDefault="00833568" w:rsidP="00226CCA">
            <w:pPr>
              <w:spacing w:beforeLines="60" w:before="144" w:afterLines="60" w:after="144"/>
              <w:rPr>
                <w:rFonts w:cs="Arial"/>
                <w:color w:val="auto"/>
                <w:sz w:val="22"/>
                <w:szCs w:val="22"/>
              </w:rPr>
            </w:pPr>
          </w:p>
        </w:tc>
      </w:tr>
      <w:tr w:rsidR="00230647" w:rsidRPr="00C5029D" w:rsidTr="00230647">
        <w:trPr>
          <w:trHeight w:val="11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The Porch Day Centre</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The Porch</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£55,000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Core funding for The Porch (formerly known as </w:t>
            </w:r>
            <w:proofErr w:type="spellStart"/>
            <w:r w:rsidRPr="00C5029D">
              <w:rPr>
                <w:rFonts w:cs="Arial"/>
                <w:color w:val="auto"/>
                <w:sz w:val="22"/>
                <w:szCs w:val="22"/>
              </w:rPr>
              <w:t>Steppin</w:t>
            </w:r>
            <w:proofErr w:type="spellEnd"/>
            <w:r w:rsidRPr="00C5029D">
              <w:rPr>
                <w:rFonts w:cs="Arial"/>
                <w:color w:val="auto"/>
                <w:sz w:val="22"/>
                <w:szCs w:val="22"/>
              </w:rPr>
              <w:t xml:space="preserve">’ Stone) daycentre to support rough sleepers and those vulnerably housed through a range of activities, training and education and where appropriate sign post clients to more appropriate services. </w:t>
            </w:r>
          </w:p>
        </w:tc>
      </w:tr>
      <w:tr w:rsidR="00230647" w:rsidRPr="00C5029D" w:rsidTr="00230647">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Aspire </w:t>
            </w:r>
          </w:p>
        </w:tc>
        <w:tc>
          <w:tcPr>
            <w:tcW w:w="2171" w:type="dxa"/>
            <w:tcBorders>
              <w:top w:val="nil"/>
              <w:left w:val="nil"/>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Aspire Oxford</w:t>
            </w:r>
          </w:p>
        </w:tc>
        <w:tc>
          <w:tcPr>
            <w:tcW w:w="1422" w:type="dxa"/>
            <w:tcBorders>
              <w:top w:val="single" w:sz="4" w:space="0" w:color="auto"/>
              <w:left w:val="nil"/>
              <w:bottom w:val="single" w:sz="4" w:space="0" w:color="auto"/>
              <w:right w:val="single" w:sz="4" w:space="0" w:color="auto"/>
            </w:tcBorders>
            <w:vAlign w:val="center"/>
          </w:tcPr>
          <w:p w:rsidR="00230647" w:rsidRPr="00C5029D" w:rsidRDefault="00230647" w:rsidP="00C5029D">
            <w:pPr>
              <w:spacing w:beforeLines="60" w:before="144" w:afterLines="60" w:after="144"/>
              <w:jc w:val="center"/>
              <w:rPr>
                <w:rFonts w:cs="Arial"/>
                <w:color w:val="auto"/>
                <w:sz w:val="22"/>
                <w:szCs w:val="22"/>
              </w:rPr>
            </w:pPr>
            <w:r w:rsidRPr="00C5029D">
              <w:rPr>
                <w:rFonts w:cs="Arial"/>
                <w:color w:val="auto"/>
                <w:sz w:val="22"/>
                <w:szCs w:val="22"/>
              </w:rPr>
              <w:t>£77,623</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230647" w:rsidRPr="00C5029D" w:rsidRDefault="00230647" w:rsidP="00C5029D">
            <w:pPr>
              <w:spacing w:beforeLines="60" w:before="144" w:afterLines="60" w:after="144"/>
              <w:rPr>
                <w:rFonts w:cs="Arial"/>
                <w:color w:val="auto"/>
                <w:sz w:val="22"/>
                <w:szCs w:val="22"/>
              </w:rPr>
            </w:pPr>
            <w:r w:rsidRPr="00C5029D">
              <w:rPr>
                <w:rFonts w:cs="Arial"/>
                <w:color w:val="auto"/>
                <w:sz w:val="22"/>
                <w:szCs w:val="22"/>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230647" w:rsidRPr="00C5029D" w:rsidTr="00230647">
        <w:trPr>
          <w:trHeight w:val="445"/>
        </w:trPr>
        <w:tc>
          <w:tcPr>
            <w:tcW w:w="2835" w:type="dxa"/>
            <w:tcBorders>
              <w:top w:val="nil"/>
              <w:left w:val="single" w:sz="4" w:space="0" w:color="auto"/>
              <w:bottom w:val="nil"/>
              <w:right w:val="single" w:sz="4" w:space="0" w:color="auto"/>
            </w:tcBorders>
            <w:shd w:val="clear" w:color="000000" w:fill="DA9694"/>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Other</w:t>
            </w:r>
          </w:p>
        </w:tc>
        <w:tc>
          <w:tcPr>
            <w:tcW w:w="2171" w:type="dxa"/>
            <w:tcBorders>
              <w:top w:val="nil"/>
              <w:left w:val="nil"/>
              <w:bottom w:val="nil"/>
              <w:right w:val="single" w:sz="4" w:space="0" w:color="auto"/>
            </w:tcBorders>
            <w:shd w:val="clear" w:color="000000" w:fill="DA9694"/>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DA9694"/>
            <w:vAlign w:val="center"/>
          </w:tcPr>
          <w:p w:rsidR="00230647" w:rsidRPr="00C5029D" w:rsidRDefault="00230647" w:rsidP="00584265">
            <w:pPr>
              <w:spacing w:beforeLines="60" w:before="144" w:afterLines="60" w:after="144"/>
              <w:jc w:val="center"/>
              <w:rPr>
                <w:rFonts w:cs="Arial"/>
                <w:b/>
                <w:bCs/>
                <w:color w:val="auto"/>
                <w:sz w:val="22"/>
                <w:szCs w:val="22"/>
              </w:rPr>
            </w:pPr>
            <w:r w:rsidRPr="00C5029D">
              <w:rPr>
                <w:rFonts w:cs="Arial"/>
                <w:b/>
                <w:bCs/>
                <w:color w:val="auto"/>
                <w:sz w:val="22"/>
                <w:szCs w:val="22"/>
              </w:rPr>
              <w:t>£</w:t>
            </w:r>
            <w:r w:rsidR="00833568">
              <w:rPr>
                <w:rFonts w:cs="Arial"/>
                <w:b/>
                <w:bCs/>
                <w:color w:val="auto"/>
                <w:sz w:val="22"/>
                <w:szCs w:val="22"/>
              </w:rPr>
              <w:t>387,203</w:t>
            </w:r>
          </w:p>
        </w:tc>
        <w:tc>
          <w:tcPr>
            <w:tcW w:w="6766" w:type="dxa"/>
            <w:tcBorders>
              <w:top w:val="nil"/>
              <w:left w:val="single" w:sz="4" w:space="0" w:color="auto"/>
              <w:bottom w:val="nil"/>
              <w:right w:val="single" w:sz="4" w:space="0" w:color="auto"/>
            </w:tcBorders>
            <w:shd w:val="clear" w:color="000000" w:fill="DA9694"/>
            <w:noWrap/>
            <w:vAlign w:val="center"/>
            <w:hideMark/>
          </w:tcPr>
          <w:p w:rsidR="00230647" w:rsidRPr="00C5029D" w:rsidRDefault="00230647"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230647" w:rsidRPr="00C5029D" w:rsidTr="00230647">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47" w:rsidRPr="00584265" w:rsidRDefault="00230647" w:rsidP="00C5029D">
            <w:pPr>
              <w:spacing w:beforeLines="60" w:before="144" w:afterLines="60" w:after="144"/>
              <w:rPr>
                <w:rFonts w:cs="Arial"/>
                <w:color w:val="auto"/>
                <w:sz w:val="22"/>
                <w:szCs w:val="22"/>
              </w:rPr>
            </w:pPr>
            <w:r w:rsidRPr="00584265">
              <w:rPr>
                <w:rFonts w:cs="Arial"/>
                <w:color w:val="auto"/>
                <w:sz w:val="22"/>
                <w:szCs w:val="22"/>
              </w:rPr>
              <w:t>Single Homelessness Team (current arrangements)</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230647" w:rsidRPr="00584265" w:rsidRDefault="00230647" w:rsidP="00C5029D">
            <w:pPr>
              <w:spacing w:beforeLines="60" w:before="144" w:afterLines="60" w:after="144"/>
              <w:rPr>
                <w:rFonts w:cs="Arial"/>
                <w:color w:val="auto"/>
                <w:sz w:val="22"/>
                <w:szCs w:val="22"/>
              </w:rPr>
            </w:pPr>
            <w:r w:rsidRPr="00584265">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230647" w:rsidRPr="00584265" w:rsidRDefault="00230647" w:rsidP="0056577E">
            <w:pPr>
              <w:spacing w:beforeLines="60" w:before="144" w:afterLines="60" w:after="144"/>
              <w:jc w:val="center"/>
              <w:rPr>
                <w:rFonts w:cs="Arial"/>
                <w:color w:val="auto"/>
                <w:sz w:val="22"/>
                <w:szCs w:val="22"/>
              </w:rPr>
            </w:pPr>
            <w:r w:rsidRPr="00584265">
              <w:rPr>
                <w:rFonts w:cs="Arial"/>
                <w:color w:val="auto"/>
                <w:sz w:val="22"/>
                <w:szCs w:val="22"/>
              </w:rPr>
              <w:t>£</w:t>
            </w:r>
            <w:r w:rsidR="0056577E" w:rsidRPr="00584265">
              <w:rPr>
                <w:rFonts w:cs="Arial"/>
                <w:color w:val="auto"/>
                <w:sz w:val="22"/>
                <w:szCs w:val="22"/>
              </w:rPr>
              <w:t>211,405</w:t>
            </w:r>
          </w:p>
        </w:tc>
        <w:tc>
          <w:tcPr>
            <w:tcW w:w="6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647" w:rsidRPr="00584265" w:rsidRDefault="00230647" w:rsidP="00C5029D">
            <w:pPr>
              <w:spacing w:beforeLines="60" w:before="144" w:afterLines="60" w:after="144"/>
              <w:rPr>
                <w:rFonts w:cs="Arial"/>
                <w:color w:val="auto"/>
                <w:sz w:val="22"/>
                <w:szCs w:val="22"/>
              </w:rPr>
            </w:pPr>
            <w:r w:rsidRPr="00584265">
              <w:rPr>
                <w:rFonts w:cs="Arial"/>
                <w:color w:val="auto"/>
                <w:sz w:val="22"/>
                <w:szCs w:val="22"/>
              </w:rPr>
              <w:t xml:space="preserve">Funding contribution towards the Council’s Rough Sleeping and Single Homelessness Team. </w:t>
            </w:r>
          </w:p>
        </w:tc>
      </w:tr>
      <w:tr w:rsidR="00584265" w:rsidRPr="00C5029D" w:rsidTr="00FD3828">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584265" w:rsidRPr="00584265" w:rsidRDefault="00584265" w:rsidP="00584265">
            <w:pPr>
              <w:spacing w:beforeLines="60" w:before="144" w:afterLines="60" w:after="144"/>
              <w:rPr>
                <w:rFonts w:cs="Arial"/>
                <w:color w:val="auto"/>
                <w:sz w:val="22"/>
                <w:szCs w:val="22"/>
              </w:rPr>
            </w:pPr>
            <w:r w:rsidRPr="00584265">
              <w:rPr>
                <w:rFonts w:cs="Arial"/>
                <w:color w:val="auto"/>
                <w:sz w:val="22"/>
                <w:szCs w:val="22"/>
              </w:rPr>
              <w:lastRenderedPageBreak/>
              <w:t>Target Hardening/Sanctuary Scheme</w:t>
            </w:r>
          </w:p>
        </w:tc>
        <w:tc>
          <w:tcPr>
            <w:tcW w:w="2171" w:type="dxa"/>
            <w:tcBorders>
              <w:top w:val="nil"/>
              <w:left w:val="nil"/>
              <w:bottom w:val="single" w:sz="4" w:space="0" w:color="auto"/>
              <w:right w:val="single" w:sz="4" w:space="0" w:color="auto"/>
            </w:tcBorders>
            <w:shd w:val="clear" w:color="auto" w:fill="auto"/>
            <w:noWrap/>
            <w:vAlign w:val="center"/>
          </w:tcPr>
          <w:p w:rsidR="00584265" w:rsidRPr="00584265" w:rsidRDefault="00584265" w:rsidP="00584265">
            <w:pPr>
              <w:spacing w:beforeLines="60" w:before="144" w:afterLines="60" w:after="144"/>
              <w:rPr>
                <w:rFonts w:cs="Arial"/>
                <w:color w:val="auto"/>
                <w:sz w:val="22"/>
                <w:szCs w:val="22"/>
              </w:rPr>
            </w:pPr>
            <w:r w:rsidRPr="00584265">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584265" w:rsidRPr="00584265" w:rsidRDefault="00584265" w:rsidP="00584265">
            <w:pPr>
              <w:spacing w:beforeLines="60" w:before="144" w:afterLines="60" w:after="144"/>
              <w:jc w:val="center"/>
              <w:rPr>
                <w:rFonts w:cs="Arial"/>
                <w:color w:val="auto"/>
                <w:sz w:val="22"/>
                <w:szCs w:val="22"/>
              </w:rPr>
            </w:pPr>
            <w:r w:rsidRPr="00584265">
              <w:rPr>
                <w:rFonts w:cs="Arial"/>
                <w:color w:val="auto"/>
                <w:sz w:val="22"/>
                <w:szCs w:val="22"/>
              </w:rPr>
              <w:t>£30,000</w:t>
            </w:r>
          </w:p>
        </w:tc>
        <w:tc>
          <w:tcPr>
            <w:tcW w:w="6766" w:type="dxa"/>
            <w:tcBorders>
              <w:top w:val="nil"/>
              <w:left w:val="nil"/>
              <w:bottom w:val="single" w:sz="4" w:space="0" w:color="auto"/>
              <w:right w:val="single" w:sz="4" w:space="0" w:color="auto"/>
            </w:tcBorders>
            <w:shd w:val="clear" w:color="auto" w:fill="auto"/>
            <w:noWrap/>
            <w:vAlign w:val="center"/>
          </w:tcPr>
          <w:p w:rsidR="00584265" w:rsidRPr="00584265" w:rsidRDefault="00584265" w:rsidP="00584265">
            <w:pPr>
              <w:spacing w:beforeLines="60" w:before="144" w:afterLines="60" w:after="144"/>
              <w:rPr>
                <w:rFonts w:cs="Arial"/>
                <w:color w:val="auto"/>
                <w:sz w:val="22"/>
                <w:szCs w:val="22"/>
              </w:rPr>
            </w:pPr>
            <w:r w:rsidRPr="00584265">
              <w:rPr>
                <w:rFonts w:cs="Arial"/>
                <w:color w:val="auto"/>
                <w:sz w:val="22"/>
                <w:szCs w:val="22"/>
              </w:rPr>
              <w:t>Funding provided for a post in the Anti-Social Behaviour Team to support victims of domestic abuse and enable them to stay in their own homes. Last year this was funded from the Flexible Homeless Grant.</w:t>
            </w:r>
          </w:p>
        </w:tc>
      </w:tr>
      <w:tr w:rsidR="00584265" w:rsidRPr="00C5029D" w:rsidTr="00230647">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84265" w:rsidRPr="00584265" w:rsidRDefault="00584265" w:rsidP="00584265">
            <w:pPr>
              <w:spacing w:beforeLines="60" w:before="144" w:afterLines="60" w:after="144"/>
              <w:rPr>
                <w:rFonts w:cs="Arial"/>
                <w:color w:val="auto"/>
                <w:sz w:val="22"/>
                <w:szCs w:val="22"/>
              </w:rPr>
            </w:pPr>
            <w:proofErr w:type="spellStart"/>
            <w:r w:rsidRPr="00584265">
              <w:rPr>
                <w:rFonts w:cs="Arial"/>
                <w:color w:val="auto"/>
                <w:sz w:val="22"/>
                <w:szCs w:val="22"/>
              </w:rPr>
              <w:t>OxTHINK</w:t>
            </w:r>
            <w:proofErr w:type="spellEnd"/>
            <w:r w:rsidRPr="00584265">
              <w:rPr>
                <w:rFonts w:cs="Arial"/>
                <w:color w:val="auto"/>
                <w:sz w:val="22"/>
                <w:szCs w:val="22"/>
              </w:rPr>
              <w:t xml:space="preserve"> (formerly Oxford CHAIN)</w:t>
            </w:r>
          </w:p>
        </w:tc>
        <w:tc>
          <w:tcPr>
            <w:tcW w:w="2171" w:type="dxa"/>
            <w:tcBorders>
              <w:top w:val="nil"/>
              <w:left w:val="nil"/>
              <w:bottom w:val="single" w:sz="4" w:space="0" w:color="auto"/>
              <w:right w:val="single" w:sz="4" w:space="0" w:color="auto"/>
            </w:tcBorders>
            <w:shd w:val="clear" w:color="auto" w:fill="auto"/>
            <w:noWrap/>
            <w:vAlign w:val="center"/>
            <w:hideMark/>
          </w:tcPr>
          <w:p w:rsidR="00584265" w:rsidRPr="00584265" w:rsidRDefault="00584265" w:rsidP="00584265">
            <w:pPr>
              <w:spacing w:beforeLines="60" w:before="144" w:afterLines="60" w:after="144"/>
              <w:rPr>
                <w:rFonts w:cs="Arial"/>
                <w:color w:val="auto"/>
                <w:sz w:val="22"/>
                <w:szCs w:val="22"/>
              </w:rPr>
            </w:pPr>
            <w:r w:rsidRPr="00584265">
              <w:rPr>
                <w:rFonts w:cs="Arial"/>
                <w:color w:val="auto"/>
                <w:sz w:val="22"/>
                <w:szCs w:val="22"/>
              </w:rPr>
              <w:t>Real Systems</w:t>
            </w:r>
          </w:p>
        </w:tc>
        <w:tc>
          <w:tcPr>
            <w:tcW w:w="1422" w:type="dxa"/>
            <w:tcBorders>
              <w:top w:val="single" w:sz="4" w:space="0" w:color="auto"/>
              <w:left w:val="nil"/>
              <w:bottom w:val="single" w:sz="4" w:space="0" w:color="auto"/>
              <w:right w:val="single" w:sz="4" w:space="0" w:color="auto"/>
            </w:tcBorders>
            <w:vAlign w:val="center"/>
          </w:tcPr>
          <w:p w:rsidR="00584265" w:rsidRPr="00584265" w:rsidRDefault="00584265" w:rsidP="00584265">
            <w:pPr>
              <w:spacing w:beforeLines="60" w:before="144" w:afterLines="60" w:after="144"/>
              <w:jc w:val="center"/>
              <w:rPr>
                <w:rFonts w:cs="Arial"/>
                <w:color w:val="auto"/>
                <w:sz w:val="22"/>
                <w:szCs w:val="22"/>
              </w:rPr>
            </w:pPr>
            <w:r w:rsidRPr="00584265">
              <w:rPr>
                <w:rFonts w:cs="Arial"/>
                <w:color w:val="auto"/>
                <w:sz w:val="22"/>
                <w:szCs w:val="22"/>
              </w:rPr>
              <w:t>£5,000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584265" w:rsidRPr="00584265" w:rsidRDefault="00584265" w:rsidP="00584265">
            <w:pPr>
              <w:spacing w:beforeLines="60" w:before="144" w:afterLines="60" w:after="144"/>
              <w:rPr>
                <w:rFonts w:cs="Arial"/>
                <w:color w:val="auto"/>
                <w:sz w:val="22"/>
                <w:szCs w:val="22"/>
              </w:rPr>
            </w:pPr>
            <w:r w:rsidRPr="00584265">
              <w:rPr>
                <w:rFonts w:cs="Arial"/>
                <w:bCs/>
                <w:color w:val="auto"/>
                <w:sz w:val="22"/>
                <w:szCs w:val="22"/>
              </w:rPr>
              <w:t xml:space="preserve">Core funding to maintain web-based database management system that collates data and provides monitoring reports on rough sleeping. </w:t>
            </w:r>
          </w:p>
        </w:tc>
      </w:tr>
      <w:tr w:rsidR="00644543" w:rsidRPr="00C5029D" w:rsidTr="00230647">
        <w:trPr>
          <w:trHeight w:val="255"/>
        </w:trPr>
        <w:tc>
          <w:tcPr>
            <w:tcW w:w="2835" w:type="dxa"/>
            <w:tcBorders>
              <w:top w:val="nil"/>
              <w:left w:val="single" w:sz="4" w:space="0" w:color="auto"/>
              <w:bottom w:val="single" w:sz="4" w:space="0" w:color="auto"/>
              <w:right w:val="single" w:sz="4" w:space="0" w:color="auto"/>
            </w:tcBorders>
            <w:shd w:val="clear" w:color="auto" w:fill="auto"/>
            <w:vAlign w:val="center"/>
          </w:tcPr>
          <w:p w:rsidR="00644543" w:rsidRPr="00584265" w:rsidRDefault="00644543" w:rsidP="00584265">
            <w:pPr>
              <w:spacing w:beforeLines="60" w:before="144" w:afterLines="60" w:after="144"/>
              <w:rPr>
                <w:rFonts w:cs="Arial"/>
                <w:color w:val="auto"/>
                <w:sz w:val="22"/>
                <w:szCs w:val="22"/>
              </w:rPr>
            </w:pPr>
            <w:r>
              <w:rPr>
                <w:rFonts w:cs="Arial"/>
                <w:color w:val="auto"/>
                <w:sz w:val="22"/>
                <w:szCs w:val="22"/>
              </w:rPr>
              <w:t>Access to Leisure Services</w:t>
            </w:r>
          </w:p>
        </w:tc>
        <w:tc>
          <w:tcPr>
            <w:tcW w:w="2171" w:type="dxa"/>
            <w:tcBorders>
              <w:top w:val="nil"/>
              <w:left w:val="nil"/>
              <w:bottom w:val="single" w:sz="4" w:space="0" w:color="auto"/>
              <w:right w:val="single" w:sz="4" w:space="0" w:color="auto"/>
            </w:tcBorders>
            <w:shd w:val="clear" w:color="auto" w:fill="auto"/>
            <w:noWrap/>
            <w:vAlign w:val="center"/>
          </w:tcPr>
          <w:p w:rsidR="00644543" w:rsidRPr="00584265" w:rsidRDefault="00644543" w:rsidP="00584265">
            <w:pPr>
              <w:spacing w:beforeLines="60" w:before="144" w:afterLines="60" w:after="144"/>
              <w:rPr>
                <w:rFonts w:cs="Arial"/>
                <w:color w:val="auto"/>
                <w:sz w:val="22"/>
                <w:szCs w:val="22"/>
              </w:rPr>
            </w:pPr>
            <w:r>
              <w:rPr>
                <w:rFonts w:cs="Arial"/>
                <w:color w:val="auto"/>
                <w:sz w:val="22"/>
                <w:szCs w:val="22"/>
              </w:rPr>
              <w:t xml:space="preserve">Fusion </w:t>
            </w:r>
          </w:p>
        </w:tc>
        <w:tc>
          <w:tcPr>
            <w:tcW w:w="1422" w:type="dxa"/>
            <w:tcBorders>
              <w:top w:val="single" w:sz="4" w:space="0" w:color="auto"/>
              <w:left w:val="nil"/>
              <w:bottom w:val="single" w:sz="4" w:space="0" w:color="auto"/>
              <w:right w:val="single" w:sz="4" w:space="0" w:color="auto"/>
            </w:tcBorders>
            <w:vAlign w:val="center"/>
          </w:tcPr>
          <w:p w:rsidR="00644543" w:rsidRPr="00584265" w:rsidRDefault="00644543" w:rsidP="00584265">
            <w:pPr>
              <w:spacing w:beforeLines="60" w:before="144" w:afterLines="60" w:after="144"/>
              <w:jc w:val="center"/>
              <w:rPr>
                <w:rFonts w:cs="Arial"/>
                <w:color w:val="auto"/>
                <w:sz w:val="22"/>
                <w:szCs w:val="22"/>
              </w:rPr>
            </w:pPr>
            <w:r>
              <w:rPr>
                <w:rFonts w:cs="Arial"/>
                <w:color w:val="auto"/>
                <w:sz w:val="22"/>
                <w:szCs w:val="22"/>
              </w:rPr>
              <w:t>£5,000</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644543" w:rsidRPr="00584265" w:rsidRDefault="00644543" w:rsidP="00644543">
            <w:pPr>
              <w:spacing w:beforeLines="60" w:before="144" w:afterLines="60" w:after="144"/>
              <w:rPr>
                <w:rFonts w:cs="Arial"/>
                <w:bCs/>
                <w:color w:val="auto"/>
                <w:sz w:val="22"/>
                <w:szCs w:val="22"/>
              </w:rPr>
            </w:pPr>
            <w:r w:rsidRPr="00644543">
              <w:rPr>
                <w:rFonts w:cs="Arial"/>
                <w:bCs/>
                <w:color w:val="auto"/>
                <w:sz w:val="22"/>
                <w:szCs w:val="22"/>
              </w:rPr>
              <w:t xml:space="preserve">To support former rough sleepers to access the Council’s leisure facilities free of charge. </w:t>
            </w:r>
          </w:p>
        </w:tc>
      </w:tr>
      <w:tr w:rsidR="001A2979" w:rsidRPr="00C5029D" w:rsidTr="00230647">
        <w:trPr>
          <w:trHeight w:val="255"/>
        </w:trPr>
        <w:tc>
          <w:tcPr>
            <w:tcW w:w="2835" w:type="dxa"/>
            <w:tcBorders>
              <w:top w:val="nil"/>
              <w:left w:val="single" w:sz="4" w:space="0" w:color="auto"/>
              <w:bottom w:val="single" w:sz="4" w:space="0" w:color="auto"/>
              <w:right w:val="single" w:sz="4" w:space="0" w:color="auto"/>
            </w:tcBorders>
            <w:shd w:val="clear" w:color="auto" w:fill="auto"/>
            <w:vAlign w:val="center"/>
          </w:tcPr>
          <w:p w:rsidR="001A2979" w:rsidRPr="00584265" w:rsidRDefault="001A2979" w:rsidP="00584265">
            <w:pPr>
              <w:spacing w:beforeLines="60" w:before="144" w:afterLines="60" w:after="144"/>
              <w:rPr>
                <w:rFonts w:cs="Arial"/>
                <w:color w:val="auto"/>
                <w:sz w:val="22"/>
                <w:szCs w:val="22"/>
              </w:rPr>
            </w:pPr>
            <w:r>
              <w:rPr>
                <w:rFonts w:cs="Arial"/>
                <w:color w:val="auto"/>
                <w:sz w:val="22"/>
                <w:szCs w:val="22"/>
              </w:rPr>
              <w:t>Contingency</w:t>
            </w:r>
          </w:p>
        </w:tc>
        <w:tc>
          <w:tcPr>
            <w:tcW w:w="2171" w:type="dxa"/>
            <w:tcBorders>
              <w:top w:val="nil"/>
              <w:left w:val="nil"/>
              <w:bottom w:val="single" w:sz="4" w:space="0" w:color="auto"/>
              <w:right w:val="single" w:sz="4" w:space="0" w:color="auto"/>
            </w:tcBorders>
            <w:shd w:val="clear" w:color="auto" w:fill="auto"/>
            <w:noWrap/>
            <w:vAlign w:val="center"/>
          </w:tcPr>
          <w:p w:rsidR="001A2979" w:rsidRPr="00584265" w:rsidRDefault="001A2979" w:rsidP="00584265">
            <w:pPr>
              <w:spacing w:beforeLines="60" w:before="144" w:afterLines="60" w:after="144"/>
              <w:rPr>
                <w:rFonts w:cs="Arial"/>
                <w:color w:val="auto"/>
                <w:sz w:val="22"/>
                <w:szCs w:val="22"/>
              </w:rPr>
            </w:pPr>
            <w:r>
              <w:rPr>
                <w:rFonts w:cs="Arial"/>
                <w:color w:val="auto"/>
                <w:sz w:val="22"/>
                <w:szCs w:val="22"/>
              </w:rPr>
              <w:t>To be agreed</w:t>
            </w:r>
          </w:p>
        </w:tc>
        <w:tc>
          <w:tcPr>
            <w:tcW w:w="1422" w:type="dxa"/>
            <w:tcBorders>
              <w:top w:val="single" w:sz="4" w:space="0" w:color="auto"/>
              <w:left w:val="nil"/>
              <w:bottom w:val="single" w:sz="4" w:space="0" w:color="auto"/>
              <w:right w:val="single" w:sz="4" w:space="0" w:color="auto"/>
            </w:tcBorders>
            <w:vAlign w:val="center"/>
          </w:tcPr>
          <w:p w:rsidR="001A2979" w:rsidRPr="00584265" w:rsidRDefault="001A2979" w:rsidP="00644543">
            <w:pPr>
              <w:spacing w:beforeLines="60" w:before="144" w:afterLines="60" w:after="144"/>
              <w:jc w:val="center"/>
              <w:rPr>
                <w:rFonts w:cs="Arial"/>
                <w:color w:val="auto"/>
                <w:sz w:val="22"/>
                <w:szCs w:val="22"/>
              </w:rPr>
            </w:pPr>
            <w:r>
              <w:rPr>
                <w:rFonts w:cs="Arial"/>
                <w:color w:val="auto"/>
                <w:sz w:val="22"/>
                <w:szCs w:val="22"/>
              </w:rPr>
              <w:t>£1</w:t>
            </w:r>
            <w:r w:rsidR="00644543">
              <w:rPr>
                <w:rFonts w:cs="Arial"/>
                <w:color w:val="auto"/>
                <w:sz w:val="22"/>
                <w:szCs w:val="22"/>
              </w:rPr>
              <w:t>35</w:t>
            </w:r>
            <w:r>
              <w:rPr>
                <w:rFonts w:cs="Arial"/>
                <w:color w:val="auto"/>
                <w:sz w:val="22"/>
                <w:szCs w:val="22"/>
              </w:rPr>
              <w:t>,798</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1A2979" w:rsidRPr="00584265" w:rsidRDefault="001A2979" w:rsidP="00584265">
            <w:pPr>
              <w:spacing w:beforeLines="60" w:before="144" w:afterLines="60" w:after="144"/>
              <w:rPr>
                <w:rFonts w:cs="Arial"/>
                <w:bCs/>
                <w:color w:val="auto"/>
                <w:sz w:val="22"/>
                <w:szCs w:val="22"/>
              </w:rPr>
            </w:pPr>
            <w:r>
              <w:rPr>
                <w:rFonts w:cs="Arial"/>
                <w:bCs/>
                <w:color w:val="auto"/>
                <w:sz w:val="22"/>
                <w:szCs w:val="22"/>
              </w:rPr>
              <w:t>Reserved to address changing circumstances in relation to the Covid19 pandemic, including the exit of “Everyone In” accommodation.</w:t>
            </w:r>
          </w:p>
        </w:tc>
      </w:tr>
      <w:tr w:rsidR="00584265" w:rsidRPr="00C5029D" w:rsidTr="00230647">
        <w:trPr>
          <w:trHeight w:val="255"/>
        </w:trPr>
        <w:tc>
          <w:tcPr>
            <w:tcW w:w="50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4265" w:rsidRPr="00C5029D" w:rsidRDefault="00584265" w:rsidP="00584265">
            <w:pPr>
              <w:spacing w:beforeLines="60" w:before="144" w:afterLines="60" w:after="144"/>
              <w:rPr>
                <w:rFonts w:cs="Arial"/>
                <w:b/>
                <w:bCs/>
                <w:color w:val="auto"/>
                <w:sz w:val="22"/>
                <w:szCs w:val="22"/>
              </w:rPr>
            </w:pPr>
            <w:r w:rsidRPr="00C5029D">
              <w:rPr>
                <w:rFonts w:cs="Arial"/>
                <w:b/>
                <w:bCs/>
                <w:color w:val="auto"/>
                <w:sz w:val="22"/>
                <w:szCs w:val="22"/>
              </w:rPr>
              <w:t>Total allocated/committed</w:t>
            </w:r>
          </w:p>
          <w:p w:rsidR="00584265" w:rsidRPr="00C5029D" w:rsidRDefault="00584265" w:rsidP="00584265">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F2F2F2"/>
          </w:tcPr>
          <w:p w:rsidR="00584265" w:rsidRPr="00C5029D" w:rsidRDefault="00584265" w:rsidP="00584265">
            <w:pPr>
              <w:jc w:val="center"/>
              <w:rPr>
                <w:rFonts w:cs="Arial"/>
                <w:b/>
                <w:bCs/>
                <w:sz w:val="22"/>
                <w:szCs w:val="22"/>
              </w:rPr>
            </w:pPr>
          </w:p>
          <w:p w:rsidR="00584265" w:rsidRPr="00C5029D" w:rsidRDefault="00833568" w:rsidP="00833568">
            <w:pPr>
              <w:jc w:val="center"/>
              <w:rPr>
                <w:rFonts w:cs="Arial"/>
                <w:b/>
                <w:bCs/>
                <w:sz w:val="22"/>
                <w:szCs w:val="22"/>
              </w:rPr>
            </w:pPr>
            <w:r>
              <w:rPr>
                <w:rFonts w:cs="Arial"/>
                <w:b/>
                <w:bCs/>
                <w:sz w:val="22"/>
                <w:szCs w:val="22"/>
              </w:rPr>
              <w:t>£</w:t>
            </w:r>
            <w:r w:rsidR="00584265" w:rsidRPr="00C5029D">
              <w:rPr>
                <w:rFonts w:cs="Arial"/>
                <w:b/>
                <w:bCs/>
                <w:sz w:val="22"/>
                <w:szCs w:val="22"/>
              </w:rPr>
              <w:t>1,</w:t>
            </w:r>
            <w:r>
              <w:rPr>
                <w:rFonts w:cs="Arial"/>
                <w:b/>
                <w:bCs/>
                <w:sz w:val="22"/>
                <w:szCs w:val="22"/>
              </w:rPr>
              <w:t>614,684</w:t>
            </w:r>
          </w:p>
        </w:tc>
        <w:tc>
          <w:tcPr>
            <w:tcW w:w="67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4265" w:rsidRPr="00C5029D" w:rsidRDefault="00584265" w:rsidP="00584265">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584265" w:rsidRPr="00C5029D" w:rsidTr="00230647">
        <w:trPr>
          <w:trHeight w:val="255"/>
        </w:trPr>
        <w:tc>
          <w:tcPr>
            <w:tcW w:w="2835" w:type="dxa"/>
            <w:tcBorders>
              <w:top w:val="nil"/>
              <w:left w:val="nil"/>
              <w:bottom w:val="nil"/>
              <w:right w:val="nil"/>
            </w:tcBorders>
            <w:shd w:val="clear" w:color="auto" w:fill="auto"/>
            <w:noWrap/>
            <w:vAlign w:val="bottom"/>
            <w:hideMark/>
          </w:tcPr>
          <w:p w:rsidR="00584265" w:rsidRPr="00C5029D" w:rsidRDefault="00584265" w:rsidP="00584265">
            <w:pPr>
              <w:spacing w:after="0"/>
              <w:rPr>
                <w:rFonts w:cs="Arial"/>
                <w:color w:val="DD0806"/>
                <w:sz w:val="22"/>
                <w:szCs w:val="22"/>
              </w:rPr>
            </w:pPr>
          </w:p>
        </w:tc>
        <w:tc>
          <w:tcPr>
            <w:tcW w:w="2171" w:type="dxa"/>
            <w:tcBorders>
              <w:top w:val="nil"/>
              <w:left w:val="nil"/>
              <w:bottom w:val="nil"/>
              <w:right w:val="nil"/>
            </w:tcBorders>
            <w:shd w:val="clear" w:color="auto" w:fill="auto"/>
            <w:noWrap/>
            <w:vAlign w:val="bottom"/>
          </w:tcPr>
          <w:p w:rsidR="00584265" w:rsidRPr="00C5029D" w:rsidRDefault="00584265" w:rsidP="00584265">
            <w:pPr>
              <w:spacing w:after="0"/>
              <w:rPr>
                <w:rFonts w:cs="Arial"/>
                <w:color w:val="DD0806"/>
                <w:sz w:val="22"/>
                <w:szCs w:val="22"/>
              </w:rPr>
            </w:pPr>
          </w:p>
        </w:tc>
        <w:tc>
          <w:tcPr>
            <w:tcW w:w="1422" w:type="dxa"/>
            <w:tcBorders>
              <w:top w:val="single" w:sz="4" w:space="0" w:color="auto"/>
              <w:left w:val="nil"/>
              <w:bottom w:val="nil"/>
              <w:right w:val="single" w:sz="4" w:space="0" w:color="auto"/>
            </w:tcBorders>
          </w:tcPr>
          <w:p w:rsidR="00584265" w:rsidRPr="00C5029D" w:rsidRDefault="00584265" w:rsidP="00584265">
            <w:pPr>
              <w:spacing w:after="0"/>
              <w:rPr>
                <w:rFonts w:cs="Arial"/>
                <w:color w:val="DD0806"/>
                <w:sz w:val="22"/>
                <w:szCs w:val="22"/>
              </w:rPr>
            </w:pPr>
          </w:p>
        </w:tc>
        <w:tc>
          <w:tcPr>
            <w:tcW w:w="6766" w:type="dxa"/>
            <w:tcBorders>
              <w:top w:val="nil"/>
              <w:left w:val="nil"/>
              <w:bottom w:val="nil"/>
              <w:right w:val="nil"/>
            </w:tcBorders>
            <w:shd w:val="clear" w:color="auto" w:fill="auto"/>
            <w:noWrap/>
            <w:vAlign w:val="bottom"/>
          </w:tcPr>
          <w:p w:rsidR="00584265" w:rsidRPr="00C5029D" w:rsidRDefault="00584265" w:rsidP="00584265">
            <w:pPr>
              <w:spacing w:after="0"/>
              <w:rPr>
                <w:rFonts w:cs="Arial"/>
                <w:color w:val="DD0806"/>
                <w:sz w:val="22"/>
                <w:szCs w:val="22"/>
              </w:rPr>
            </w:pPr>
          </w:p>
        </w:tc>
      </w:tr>
    </w:tbl>
    <w:p w:rsidR="004456DD" w:rsidRPr="009E51FC" w:rsidRDefault="004456DD" w:rsidP="0093067A"/>
    <w:sectPr w:rsidR="004456DD" w:rsidRPr="009E51FC" w:rsidSect="008B4C8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2D" w:rsidRDefault="00CF0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2D" w:rsidRDefault="00CF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2D" w:rsidRDefault="00CF0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FF" w:rsidRPr="00CF062D" w:rsidRDefault="00CF062D" w:rsidP="00D5547E">
    <w:pPr>
      <w:pStyle w:val="Header"/>
      <w:jc w:val="right"/>
      <w:rPr>
        <w:sz w:val="48"/>
        <w:szCs w:val="48"/>
      </w:rPr>
    </w:pPr>
    <w:bookmarkStart w:id="0" w:name="_GoBack"/>
    <w:r w:rsidRPr="00CF062D">
      <w:rPr>
        <w:sz w:val="48"/>
        <w:szCs w:val="48"/>
      </w:rPr>
      <w:t>Appendix 2</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F0135"/>
    <w:multiLevelType w:val="hybridMultilevel"/>
    <w:tmpl w:val="FB0CA5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5B0338"/>
    <w:multiLevelType w:val="hybridMultilevel"/>
    <w:tmpl w:val="4F4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FE0678"/>
    <w:multiLevelType w:val="hybridMultilevel"/>
    <w:tmpl w:val="A60460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0"/>
  </w:num>
  <w:num w:numId="2">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1"/>
  </w:num>
  <w:num w:numId="5">
    <w:abstractNumId w:val="14"/>
  </w:num>
  <w:num w:numId="6">
    <w:abstractNumId w:val="12"/>
  </w:num>
  <w:num w:numId="7">
    <w:abstractNumId w:val="10"/>
  </w:num>
  <w:num w:numId="8">
    <w:abstractNumId w:val="17"/>
  </w:num>
  <w:num w:numId="9">
    <w:abstractNumId w:val="17"/>
  </w:num>
  <w:num w:numId="10">
    <w:abstractNumId w:val="8"/>
  </w:num>
  <w:num w:numId="11">
    <w:abstractNumId w:val="13"/>
  </w:num>
  <w:num w:numId="12">
    <w:abstractNumId w:val="15"/>
  </w:num>
  <w:num w:numId="13">
    <w:abstractNumId w:val="17"/>
  </w:num>
  <w:num w:numId="14">
    <w:abstractNumId w:val="16"/>
  </w:num>
  <w:num w:numId="15">
    <w:abstractNumId w:val="17"/>
  </w:num>
  <w:num w:numId="16">
    <w:abstractNumId w:val="6"/>
  </w:num>
  <w:num w:numId="17">
    <w:abstractNumId w:val="1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7"/>
  </w:num>
  <w:num w:numId="23">
    <w:abstractNumId w:val="9"/>
  </w:num>
  <w:num w:numId="24">
    <w:abstractNumId w:val="17"/>
  </w:num>
  <w:num w:numId="25">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7">
    <w:abstractNumId w:val="4"/>
  </w:num>
  <w:num w:numId="28">
    <w:abstractNumId w:val="17"/>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29">
    <w:abstractNumId w:val="2"/>
  </w:num>
  <w:num w:numId="30">
    <w:abstractNumId w:val="7"/>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F2"/>
    <w:rsid w:val="000117D4"/>
    <w:rsid w:val="00013169"/>
    <w:rsid w:val="000314D7"/>
    <w:rsid w:val="00037F05"/>
    <w:rsid w:val="00044E92"/>
    <w:rsid w:val="00045F8B"/>
    <w:rsid w:val="00046D2B"/>
    <w:rsid w:val="000507FF"/>
    <w:rsid w:val="00056263"/>
    <w:rsid w:val="00064556"/>
    <w:rsid w:val="00064D8A"/>
    <w:rsid w:val="00064F82"/>
    <w:rsid w:val="00066510"/>
    <w:rsid w:val="00073EF9"/>
    <w:rsid w:val="00077523"/>
    <w:rsid w:val="000831E1"/>
    <w:rsid w:val="000970FB"/>
    <w:rsid w:val="000A64DD"/>
    <w:rsid w:val="000A71B8"/>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2979"/>
    <w:rsid w:val="001A3FE1"/>
    <w:rsid w:val="001A5731"/>
    <w:rsid w:val="001A7D34"/>
    <w:rsid w:val="001B42C3"/>
    <w:rsid w:val="001B4BF2"/>
    <w:rsid w:val="001C5D5E"/>
    <w:rsid w:val="001D678D"/>
    <w:rsid w:val="001E03F8"/>
    <w:rsid w:val="001E1678"/>
    <w:rsid w:val="001E3376"/>
    <w:rsid w:val="0020097D"/>
    <w:rsid w:val="00202570"/>
    <w:rsid w:val="002069B3"/>
    <w:rsid w:val="002167EE"/>
    <w:rsid w:val="002234BF"/>
    <w:rsid w:val="00226CCA"/>
    <w:rsid w:val="00230449"/>
    <w:rsid w:val="00230647"/>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3804"/>
    <w:rsid w:val="002B7981"/>
    <w:rsid w:val="002C64F7"/>
    <w:rsid w:val="002E12C1"/>
    <w:rsid w:val="002E19BC"/>
    <w:rsid w:val="002E5C85"/>
    <w:rsid w:val="002F077B"/>
    <w:rsid w:val="002F41F2"/>
    <w:rsid w:val="00301BF3"/>
    <w:rsid w:val="0030208D"/>
    <w:rsid w:val="00306FB6"/>
    <w:rsid w:val="00310ED5"/>
    <w:rsid w:val="00312113"/>
    <w:rsid w:val="0031529F"/>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1324E"/>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3ACB"/>
    <w:rsid w:val="00477CF6"/>
    <w:rsid w:val="00491046"/>
    <w:rsid w:val="004A0023"/>
    <w:rsid w:val="004A1491"/>
    <w:rsid w:val="004A2AC7"/>
    <w:rsid w:val="004A35C5"/>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070B4"/>
    <w:rsid w:val="00510819"/>
    <w:rsid w:val="00514524"/>
    <w:rsid w:val="00531C1B"/>
    <w:rsid w:val="0054712D"/>
    <w:rsid w:val="00547EF6"/>
    <w:rsid w:val="005570B5"/>
    <w:rsid w:val="0056577E"/>
    <w:rsid w:val="00567E18"/>
    <w:rsid w:val="00572A0B"/>
    <w:rsid w:val="00575F5F"/>
    <w:rsid w:val="00581805"/>
    <w:rsid w:val="0058347C"/>
    <w:rsid w:val="00584265"/>
    <w:rsid w:val="00585F76"/>
    <w:rsid w:val="005969F3"/>
    <w:rsid w:val="005A2CAC"/>
    <w:rsid w:val="005A34E4"/>
    <w:rsid w:val="005A7390"/>
    <w:rsid w:val="005B17F2"/>
    <w:rsid w:val="005B7FB0"/>
    <w:rsid w:val="005C0D7E"/>
    <w:rsid w:val="005C35A5"/>
    <w:rsid w:val="005C5425"/>
    <w:rsid w:val="005C577C"/>
    <w:rsid w:val="005C5844"/>
    <w:rsid w:val="005C6B5B"/>
    <w:rsid w:val="005C7759"/>
    <w:rsid w:val="005D0621"/>
    <w:rsid w:val="005D1E27"/>
    <w:rsid w:val="005D2A3E"/>
    <w:rsid w:val="005E022E"/>
    <w:rsid w:val="005E31BE"/>
    <w:rsid w:val="005E5215"/>
    <w:rsid w:val="005E72B2"/>
    <w:rsid w:val="005F7F7E"/>
    <w:rsid w:val="006054FE"/>
    <w:rsid w:val="00614693"/>
    <w:rsid w:val="00623C2F"/>
    <w:rsid w:val="006256A2"/>
    <w:rsid w:val="00627AE7"/>
    <w:rsid w:val="00633578"/>
    <w:rsid w:val="00637068"/>
    <w:rsid w:val="00640013"/>
    <w:rsid w:val="00641E81"/>
    <w:rsid w:val="00644543"/>
    <w:rsid w:val="00647581"/>
    <w:rsid w:val="00650811"/>
    <w:rsid w:val="00661D3E"/>
    <w:rsid w:val="00667A30"/>
    <w:rsid w:val="00671D34"/>
    <w:rsid w:val="00692627"/>
    <w:rsid w:val="00696178"/>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B76A2"/>
    <w:rsid w:val="007C51A4"/>
    <w:rsid w:val="007C5C23"/>
    <w:rsid w:val="007E2A26"/>
    <w:rsid w:val="007E570B"/>
    <w:rsid w:val="007F2348"/>
    <w:rsid w:val="00803F07"/>
    <w:rsid w:val="0080749A"/>
    <w:rsid w:val="00821A15"/>
    <w:rsid w:val="00821FB8"/>
    <w:rsid w:val="00822ACD"/>
    <w:rsid w:val="00833568"/>
    <w:rsid w:val="00855C66"/>
    <w:rsid w:val="008624C6"/>
    <w:rsid w:val="008667C3"/>
    <w:rsid w:val="00871EE4"/>
    <w:rsid w:val="00877F8B"/>
    <w:rsid w:val="008B293F"/>
    <w:rsid w:val="008B4C85"/>
    <w:rsid w:val="008B5C17"/>
    <w:rsid w:val="008B7371"/>
    <w:rsid w:val="008C1D94"/>
    <w:rsid w:val="008C1FBF"/>
    <w:rsid w:val="008C4B6C"/>
    <w:rsid w:val="008D26B5"/>
    <w:rsid w:val="008D3DDB"/>
    <w:rsid w:val="008F00D2"/>
    <w:rsid w:val="008F573F"/>
    <w:rsid w:val="00902D72"/>
    <w:rsid w:val="009034EC"/>
    <w:rsid w:val="009128E0"/>
    <w:rsid w:val="0092705F"/>
    <w:rsid w:val="0093067A"/>
    <w:rsid w:val="00941C60"/>
    <w:rsid w:val="00941CD8"/>
    <w:rsid w:val="00966D42"/>
    <w:rsid w:val="00971689"/>
    <w:rsid w:val="00973E90"/>
    <w:rsid w:val="00975B07"/>
    <w:rsid w:val="00980B4A"/>
    <w:rsid w:val="00990DF3"/>
    <w:rsid w:val="00993474"/>
    <w:rsid w:val="009B168F"/>
    <w:rsid w:val="009B326E"/>
    <w:rsid w:val="009B4537"/>
    <w:rsid w:val="009C497A"/>
    <w:rsid w:val="009E33A7"/>
    <w:rsid w:val="009E3D0A"/>
    <w:rsid w:val="009E51FC"/>
    <w:rsid w:val="009E631A"/>
    <w:rsid w:val="009E7DFC"/>
    <w:rsid w:val="009F05E5"/>
    <w:rsid w:val="009F1B44"/>
    <w:rsid w:val="009F1D28"/>
    <w:rsid w:val="009F7618"/>
    <w:rsid w:val="00A04D23"/>
    <w:rsid w:val="00A06766"/>
    <w:rsid w:val="00A06BCA"/>
    <w:rsid w:val="00A100F1"/>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AF4A95"/>
    <w:rsid w:val="00B1713B"/>
    <w:rsid w:val="00B2337B"/>
    <w:rsid w:val="00B4230A"/>
    <w:rsid w:val="00B43687"/>
    <w:rsid w:val="00B44121"/>
    <w:rsid w:val="00B500CA"/>
    <w:rsid w:val="00B665EB"/>
    <w:rsid w:val="00B72910"/>
    <w:rsid w:val="00B86314"/>
    <w:rsid w:val="00B91B3D"/>
    <w:rsid w:val="00BA1C2E"/>
    <w:rsid w:val="00BA4073"/>
    <w:rsid w:val="00BC200B"/>
    <w:rsid w:val="00BC4756"/>
    <w:rsid w:val="00BC69A4"/>
    <w:rsid w:val="00BD5AEC"/>
    <w:rsid w:val="00BE0680"/>
    <w:rsid w:val="00BE1706"/>
    <w:rsid w:val="00BE305F"/>
    <w:rsid w:val="00BE7BA3"/>
    <w:rsid w:val="00BF5682"/>
    <w:rsid w:val="00BF7B09"/>
    <w:rsid w:val="00C103B5"/>
    <w:rsid w:val="00C11C17"/>
    <w:rsid w:val="00C161DA"/>
    <w:rsid w:val="00C20A95"/>
    <w:rsid w:val="00C2692F"/>
    <w:rsid w:val="00C27181"/>
    <w:rsid w:val="00C3207C"/>
    <w:rsid w:val="00C400E1"/>
    <w:rsid w:val="00C41187"/>
    <w:rsid w:val="00C5029D"/>
    <w:rsid w:val="00C62745"/>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CF062D"/>
    <w:rsid w:val="00CF25E6"/>
    <w:rsid w:val="00D11E1C"/>
    <w:rsid w:val="00D160B0"/>
    <w:rsid w:val="00D17F94"/>
    <w:rsid w:val="00D223FC"/>
    <w:rsid w:val="00D23363"/>
    <w:rsid w:val="00D26D1E"/>
    <w:rsid w:val="00D37028"/>
    <w:rsid w:val="00D40CA3"/>
    <w:rsid w:val="00D474CF"/>
    <w:rsid w:val="00D5547E"/>
    <w:rsid w:val="00D74937"/>
    <w:rsid w:val="00D75C97"/>
    <w:rsid w:val="00D811C9"/>
    <w:rsid w:val="00D868FF"/>
    <w:rsid w:val="00D869A1"/>
    <w:rsid w:val="00DA139B"/>
    <w:rsid w:val="00DA413F"/>
    <w:rsid w:val="00DA4584"/>
    <w:rsid w:val="00DA614B"/>
    <w:rsid w:val="00DC2444"/>
    <w:rsid w:val="00DC3060"/>
    <w:rsid w:val="00DE0FB2"/>
    <w:rsid w:val="00DF093E"/>
    <w:rsid w:val="00E01F42"/>
    <w:rsid w:val="00E1225A"/>
    <w:rsid w:val="00E206D6"/>
    <w:rsid w:val="00E22841"/>
    <w:rsid w:val="00E3366E"/>
    <w:rsid w:val="00E4216B"/>
    <w:rsid w:val="00E52086"/>
    <w:rsid w:val="00E543A6"/>
    <w:rsid w:val="00E60479"/>
    <w:rsid w:val="00E61D73"/>
    <w:rsid w:val="00E67478"/>
    <w:rsid w:val="00E73684"/>
    <w:rsid w:val="00E818D6"/>
    <w:rsid w:val="00E860D4"/>
    <w:rsid w:val="00E87F7A"/>
    <w:rsid w:val="00E87FA2"/>
    <w:rsid w:val="00E96BD7"/>
    <w:rsid w:val="00EA0DB1"/>
    <w:rsid w:val="00EA0EE9"/>
    <w:rsid w:val="00EA7138"/>
    <w:rsid w:val="00EC0009"/>
    <w:rsid w:val="00EC4482"/>
    <w:rsid w:val="00ED52CA"/>
    <w:rsid w:val="00ED5860"/>
    <w:rsid w:val="00ED607A"/>
    <w:rsid w:val="00EE35C9"/>
    <w:rsid w:val="00EE5586"/>
    <w:rsid w:val="00EE612A"/>
    <w:rsid w:val="00EF3272"/>
    <w:rsid w:val="00F05ECA"/>
    <w:rsid w:val="00F07877"/>
    <w:rsid w:val="00F15646"/>
    <w:rsid w:val="00F2394D"/>
    <w:rsid w:val="00F3566E"/>
    <w:rsid w:val="00F375FB"/>
    <w:rsid w:val="00F41AC1"/>
    <w:rsid w:val="00F4367A"/>
    <w:rsid w:val="00F445B1"/>
    <w:rsid w:val="00F457C9"/>
    <w:rsid w:val="00F45CD4"/>
    <w:rsid w:val="00F66DCA"/>
    <w:rsid w:val="00F67CF4"/>
    <w:rsid w:val="00F74F53"/>
    <w:rsid w:val="00F7606D"/>
    <w:rsid w:val="00F77689"/>
    <w:rsid w:val="00F81670"/>
    <w:rsid w:val="00F82024"/>
    <w:rsid w:val="00F95BC9"/>
    <w:rsid w:val="00FA12CE"/>
    <w:rsid w:val="00FA624C"/>
    <w:rsid w:val="00FB4955"/>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D79B9A7-D559-477C-9F12-97E10F36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67715222">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27455914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84198945">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70792899">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08687654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339131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62848855">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43996685">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E21D-7C8D-4BE3-AD33-E7303A70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91804B94</Template>
  <TotalTime>75</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MITCHELL John</cp:lastModifiedBy>
  <cp:revision>9</cp:revision>
  <cp:lastPrinted>2019-12-27T09:47:00Z</cp:lastPrinted>
  <dcterms:created xsi:type="dcterms:W3CDTF">2021-02-05T07:10:00Z</dcterms:created>
  <dcterms:modified xsi:type="dcterms:W3CDTF">2021-02-12T10:36:00Z</dcterms:modified>
</cp:coreProperties>
</file>